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E4DCB" w14:textId="77777777" w:rsidR="00563A94" w:rsidRPr="00563A94" w:rsidRDefault="00563A94" w:rsidP="00563A94">
      <w:pPr>
        <w:jc w:val="center"/>
        <w:rPr>
          <w:rFonts w:ascii="Times New Roman" w:hAnsi="Times New Roman" w:cs="Times New Roman"/>
          <w:b/>
          <w:bCs/>
          <w:color w:val="156082" w:themeColor="accent1"/>
          <w:u w:val="single"/>
        </w:rPr>
      </w:pPr>
      <w:r w:rsidRPr="00563A94">
        <w:rPr>
          <w:rFonts w:ascii="Times New Roman" w:hAnsi="Times New Roman" w:cs="Times New Roman"/>
          <w:b/>
          <w:bCs/>
          <w:color w:val="156082" w:themeColor="accent1"/>
          <w:u w:val="single"/>
        </w:rPr>
        <w:t>RE-36 – ESG DISCUSSIONS</w:t>
      </w:r>
    </w:p>
    <w:p w14:paraId="27AB348C" w14:textId="77777777" w:rsidR="00563A94" w:rsidRPr="00563A94" w:rsidRDefault="00563A94" w:rsidP="00563A94">
      <w:pPr>
        <w:jc w:val="both"/>
        <w:rPr>
          <w:rFonts w:ascii="Times New Roman" w:hAnsi="Times New Roman" w:cs="Times New Roman"/>
          <w:b/>
          <w:bCs/>
          <w:color w:val="156082" w:themeColor="accent1"/>
        </w:rPr>
      </w:pPr>
      <w:r w:rsidRPr="00563A94">
        <w:rPr>
          <w:rFonts w:ascii="Times New Roman" w:hAnsi="Times New Roman" w:cs="Times New Roman"/>
          <w:b/>
          <w:bCs/>
          <w:color w:val="156082" w:themeColor="accent1"/>
        </w:rPr>
        <w:t>A. PURPOSE DEFINITION</w:t>
      </w:r>
    </w:p>
    <w:p w14:paraId="4F8C014C" w14:textId="4CA39E2C" w:rsidR="00563A94" w:rsidRPr="00563A94" w:rsidRDefault="00563A94" w:rsidP="00563A94">
      <w:pPr>
        <w:jc w:val="both"/>
        <w:rPr>
          <w:rFonts w:ascii="Times New Roman" w:hAnsi="Times New Roman" w:cs="Times New Roman"/>
          <w:color w:val="156082" w:themeColor="accent1"/>
        </w:rPr>
      </w:pPr>
      <w:r w:rsidRPr="00563A94">
        <w:rPr>
          <w:rFonts w:ascii="Times New Roman" w:hAnsi="Times New Roman" w:cs="Times New Roman"/>
          <w:color w:val="156082" w:themeColor="accent1"/>
        </w:rPr>
        <w:t>"Purpose" means the evaluation, discussion, assessment, implementation, monitoring, reporting, financing, investment, management, verification, auditing, improvement, or potential development of Environmental, Social, and Governance (ESG) initiatives, ESG strategies, ESG compliance programs, sustainability programs, ESG investments, or related commercial arrangements concerning renewable energy projects, infrastructure assets, project companies, or associated businesses.</w:t>
      </w:r>
    </w:p>
    <w:p w14:paraId="491AA96F" w14:textId="77777777" w:rsidR="00563A94" w:rsidRPr="00563A94" w:rsidRDefault="00563A94" w:rsidP="00563A94">
      <w:pPr>
        <w:jc w:val="both"/>
        <w:rPr>
          <w:rFonts w:ascii="Times New Roman" w:hAnsi="Times New Roman" w:cs="Times New Roman"/>
          <w:b/>
          <w:bCs/>
          <w:color w:val="156082" w:themeColor="accent1"/>
        </w:rPr>
      </w:pPr>
      <w:r w:rsidRPr="00563A94">
        <w:rPr>
          <w:rFonts w:ascii="Times New Roman" w:hAnsi="Times New Roman" w:cs="Times New Roman"/>
          <w:b/>
          <w:bCs/>
          <w:color w:val="156082" w:themeColor="accent1"/>
        </w:rPr>
        <w:t>B. RECITAL VARIANT</w:t>
      </w:r>
    </w:p>
    <w:p w14:paraId="1EE2E596" w14:textId="77777777" w:rsidR="00563A94" w:rsidRPr="00563A94" w:rsidRDefault="00563A94" w:rsidP="00563A94">
      <w:pPr>
        <w:jc w:val="both"/>
        <w:rPr>
          <w:rFonts w:ascii="Times New Roman" w:hAnsi="Times New Roman" w:cs="Times New Roman"/>
          <w:color w:val="156082" w:themeColor="accent1"/>
        </w:rPr>
      </w:pPr>
      <w:proofErr w:type="gramStart"/>
      <w:r w:rsidRPr="00563A94">
        <w:rPr>
          <w:rFonts w:ascii="Times New Roman" w:hAnsi="Times New Roman" w:cs="Times New Roman"/>
          <w:color w:val="156082" w:themeColor="accent1"/>
        </w:rPr>
        <w:t>WHEREAS,</w:t>
      </w:r>
      <w:proofErr w:type="gramEnd"/>
      <w:r w:rsidRPr="00563A94">
        <w:rPr>
          <w:rFonts w:ascii="Times New Roman" w:hAnsi="Times New Roman" w:cs="Times New Roman"/>
          <w:color w:val="156082" w:themeColor="accent1"/>
        </w:rPr>
        <w:t xml:space="preserve"> the Parties desire to evaluate and discuss ESG initiatives, sustainability strategies, ESG investments, ESG compliance requirements, ESG reporting obligations, sustainability-linked opportunities, or related commercial arrangements concerning renewable energy projects and infrastructure assets;</w:t>
      </w:r>
    </w:p>
    <w:p w14:paraId="018E724E" w14:textId="77777777" w:rsidR="00563A94" w:rsidRPr="00563A94" w:rsidRDefault="00563A94" w:rsidP="00563A94">
      <w:pPr>
        <w:jc w:val="both"/>
        <w:rPr>
          <w:rFonts w:ascii="Times New Roman" w:hAnsi="Times New Roman" w:cs="Times New Roman"/>
          <w:color w:val="156082" w:themeColor="accent1"/>
        </w:rPr>
      </w:pPr>
      <w:r w:rsidRPr="00563A94">
        <w:rPr>
          <w:rFonts w:ascii="Times New Roman" w:hAnsi="Times New Roman" w:cs="Times New Roman"/>
          <w:color w:val="156082" w:themeColor="accent1"/>
        </w:rPr>
        <w:t>WHEREAS, in connection with such discussions, evaluations, ESG assessments, sustainability reviews, reporting activities, financing activities, and transaction discussions, the Parties may disclose and exchange confidential commercial, financial, operational, environmental, social, governance-related, and proprietary information;</w:t>
      </w:r>
    </w:p>
    <w:p w14:paraId="00B8ED64" w14:textId="2EC4A5EC" w:rsidR="00563A94" w:rsidRPr="00563A94" w:rsidRDefault="00563A94" w:rsidP="00563A94">
      <w:pPr>
        <w:jc w:val="both"/>
        <w:rPr>
          <w:rFonts w:ascii="Times New Roman" w:hAnsi="Times New Roman" w:cs="Times New Roman"/>
          <w:color w:val="156082" w:themeColor="accent1"/>
        </w:rPr>
      </w:pPr>
      <w:proofErr w:type="gramStart"/>
      <w:r w:rsidRPr="00563A94">
        <w:rPr>
          <w:rFonts w:ascii="Times New Roman" w:hAnsi="Times New Roman" w:cs="Times New Roman"/>
          <w:color w:val="156082" w:themeColor="accent1"/>
        </w:rPr>
        <w:t>WHEREAS,</w:t>
      </w:r>
      <w:proofErr w:type="gramEnd"/>
      <w:r w:rsidRPr="00563A94">
        <w:rPr>
          <w:rFonts w:ascii="Times New Roman" w:hAnsi="Times New Roman" w:cs="Times New Roman"/>
          <w:color w:val="156082" w:themeColor="accent1"/>
        </w:rPr>
        <w:t xml:space="preserve"> the Parties wish to establish the terms and conditions governing the disclosure, protection, use, and handling of such Confidential Information.</w:t>
      </w:r>
    </w:p>
    <w:p w14:paraId="5177B639" w14:textId="77777777" w:rsidR="00563A94" w:rsidRPr="00563A94" w:rsidRDefault="00563A94" w:rsidP="00563A94">
      <w:pPr>
        <w:jc w:val="both"/>
        <w:rPr>
          <w:rFonts w:ascii="Times New Roman" w:hAnsi="Times New Roman" w:cs="Times New Roman"/>
          <w:b/>
          <w:bCs/>
          <w:color w:val="156082" w:themeColor="accent1"/>
        </w:rPr>
      </w:pPr>
      <w:r w:rsidRPr="00563A94">
        <w:rPr>
          <w:rFonts w:ascii="Times New Roman" w:hAnsi="Times New Roman" w:cs="Times New Roman"/>
          <w:b/>
          <w:bCs/>
          <w:color w:val="156082" w:themeColor="accent1"/>
        </w:rPr>
        <w:t>C. ADDITIONAL DEFINITIONS</w:t>
      </w:r>
    </w:p>
    <w:p w14:paraId="78967894" w14:textId="77777777" w:rsidR="00563A94" w:rsidRPr="00563A94" w:rsidRDefault="00563A94" w:rsidP="00563A94">
      <w:pPr>
        <w:numPr>
          <w:ilvl w:val="0"/>
          <w:numId w:val="7"/>
        </w:numPr>
        <w:jc w:val="both"/>
        <w:rPr>
          <w:rFonts w:ascii="Times New Roman" w:hAnsi="Times New Roman" w:cs="Times New Roman"/>
          <w:b/>
          <w:bCs/>
          <w:color w:val="156082" w:themeColor="accent1"/>
        </w:rPr>
      </w:pPr>
      <w:r w:rsidRPr="00563A94">
        <w:rPr>
          <w:rFonts w:ascii="Times New Roman" w:hAnsi="Times New Roman" w:cs="Times New Roman"/>
          <w:b/>
          <w:bCs/>
          <w:color w:val="156082" w:themeColor="accent1"/>
        </w:rPr>
        <w:t>ESG</w:t>
      </w:r>
    </w:p>
    <w:p w14:paraId="3F9CC332" w14:textId="77777777" w:rsidR="00563A94" w:rsidRPr="00563A94" w:rsidRDefault="00563A94" w:rsidP="00563A94">
      <w:pPr>
        <w:jc w:val="both"/>
        <w:rPr>
          <w:rFonts w:ascii="Times New Roman" w:hAnsi="Times New Roman" w:cs="Times New Roman"/>
          <w:color w:val="156082" w:themeColor="accent1"/>
        </w:rPr>
      </w:pPr>
      <w:r w:rsidRPr="00563A94">
        <w:rPr>
          <w:rFonts w:ascii="Times New Roman" w:hAnsi="Times New Roman" w:cs="Times New Roman"/>
          <w:color w:val="156082" w:themeColor="accent1"/>
        </w:rPr>
        <w:t>"ESG" means Environmental, Social, and Governance factors, principles, standards, policies, metrics, obligations, reporting frameworks, and performance indicators used to evaluate sustainability and responsible business practices.</w:t>
      </w:r>
    </w:p>
    <w:p w14:paraId="7BF931B2" w14:textId="77777777" w:rsidR="00563A94" w:rsidRPr="00563A94" w:rsidRDefault="00563A94" w:rsidP="00563A94">
      <w:pPr>
        <w:numPr>
          <w:ilvl w:val="0"/>
          <w:numId w:val="8"/>
        </w:numPr>
        <w:jc w:val="both"/>
        <w:rPr>
          <w:rFonts w:ascii="Times New Roman" w:hAnsi="Times New Roman" w:cs="Times New Roman"/>
          <w:b/>
          <w:bCs/>
          <w:color w:val="156082" w:themeColor="accent1"/>
        </w:rPr>
      </w:pPr>
      <w:r w:rsidRPr="00563A94">
        <w:rPr>
          <w:rFonts w:ascii="Times New Roman" w:hAnsi="Times New Roman" w:cs="Times New Roman"/>
          <w:b/>
          <w:bCs/>
          <w:color w:val="156082" w:themeColor="accent1"/>
        </w:rPr>
        <w:t>ESG Information</w:t>
      </w:r>
    </w:p>
    <w:p w14:paraId="21F48662" w14:textId="77777777" w:rsidR="00563A94" w:rsidRPr="00563A94" w:rsidRDefault="00563A94" w:rsidP="00563A94">
      <w:pPr>
        <w:jc w:val="both"/>
        <w:rPr>
          <w:rFonts w:ascii="Times New Roman" w:hAnsi="Times New Roman" w:cs="Times New Roman"/>
          <w:color w:val="156082" w:themeColor="accent1"/>
        </w:rPr>
      </w:pPr>
      <w:r w:rsidRPr="00563A94">
        <w:rPr>
          <w:rFonts w:ascii="Times New Roman" w:hAnsi="Times New Roman" w:cs="Times New Roman"/>
          <w:color w:val="156082" w:themeColor="accent1"/>
        </w:rPr>
        <w:t>"ESG Information" means information relating to environmental performance, social performance, governance practices, ESG risks, ESG opportunities, ESG metrics, and ESG disclosures.</w:t>
      </w:r>
    </w:p>
    <w:p w14:paraId="3CD415E0" w14:textId="77777777" w:rsidR="00563A94" w:rsidRPr="00563A94" w:rsidRDefault="00563A94" w:rsidP="00563A94">
      <w:pPr>
        <w:numPr>
          <w:ilvl w:val="0"/>
          <w:numId w:val="9"/>
        </w:numPr>
        <w:jc w:val="both"/>
        <w:rPr>
          <w:rFonts w:ascii="Times New Roman" w:hAnsi="Times New Roman" w:cs="Times New Roman"/>
          <w:b/>
          <w:bCs/>
          <w:color w:val="156082" w:themeColor="accent1"/>
        </w:rPr>
      </w:pPr>
      <w:r w:rsidRPr="00563A94">
        <w:rPr>
          <w:rFonts w:ascii="Times New Roman" w:hAnsi="Times New Roman" w:cs="Times New Roman"/>
          <w:b/>
          <w:bCs/>
          <w:color w:val="156082" w:themeColor="accent1"/>
        </w:rPr>
        <w:t>Sustainability Information</w:t>
      </w:r>
    </w:p>
    <w:p w14:paraId="2F57F5A9" w14:textId="77777777" w:rsidR="00563A94" w:rsidRPr="00563A94" w:rsidRDefault="00563A94" w:rsidP="00563A94">
      <w:pPr>
        <w:jc w:val="both"/>
        <w:rPr>
          <w:rFonts w:ascii="Times New Roman" w:hAnsi="Times New Roman" w:cs="Times New Roman"/>
          <w:color w:val="156082" w:themeColor="accent1"/>
        </w:rPr>
      </w:pPr>
      <w:r w:rsidRPr="00563A94">
        <w:rPr>
          <w:rFonts w:ascii="Times New Roman" w:hAnsi="Times New Roman" w:cs="Times New Roman"/>
          <w:color w:val="156082" w:themeColor="accent1"/>
        </w:rPr>
        <w:t>"Sustainability Information" means information relating to sustainability initiatives, climate commitments, environmental objectives, social impact initiatives, responsible business practices, and sustainability performance.</w:t>
      </w:r>
    </w:p>
    <w:p w14:paraId="5C783294" w14:textId="77777777" w:rsidR="00563A94" w:rsidRPr="00563A94" w:rsidRDefault="00563A94" w:rsidP="00563A94">
      <w:pPr>
        <w:numPr>
          <w:ilvl w:val="0"/>
          <w:numId w:val="10"/>
        </w:numPr>
        <w:jc w:val="both"/>
        <w:rPr>
          <w:rFonts w:ascii="Times New Roman" w:hAnsi="Times New Roman" w:cs="Times New Roman"/>
          <w:b/>
          <w:bCs/>
          <w:color w:val="156082" w:themeColor="accent1"/>
        </w:rPr>
      </w:pPr>
      <w:r w:rsidRPr="00563A94">
        <w:rPr>
          <w:rFonts w:ascii="Times New Roman" w:hAnsi="Times New Roman" w:cs="Times New Roman"/>
          <w:b/>
          <w:bCs/>
          <w:color w:val="156082" w:themeColor="accent1"/>
        </w:rPr>
        <w:t>ESG Assessment</w:t>
      </w:r>
    </w:p>
    <w:p w14:paraId="0A393DF9" w14:textId="77777777" w:rsidR="00563A94" w:rsidRPr="00563A94" w:rsidRDefault="00563A94" w:rsidP="00563A94">
      <w:pPr>
        <w:jc w:val="both"/>
        <w:rPr>
          <w:rFonts w:ascii="Times New Roman" w:hAnsi="Times New Roman" w:cs="Times New Roman"/>
          <w:color w:val="156082" w:themeColor="accent1"/>
        </w:rPr>
      </w:pPr>
      <w:r w:rsidRPr="00563A94">
        <w:rPr>
          <w:rFonts w:ascii="Times New Roman" w:hAnsi="Times New Roman" w:cs="Times New Roman"/>
          <w:color w:val="156082" w:themeColor="accent1"/>
        </w:rPr>
        <w:t>"ESG Assessment" means any ESG review, ESG audit, ESG rating assessment, sustainability assessment, ESG due diligence review, ESG benchmarking exercise, or related evaluation.</w:t>
      </w:r>
    </w:p>
    <w:p w14:paraId="510B23A4" w14:textId="77777777" w:rsidR="00563A94" w:rsidRPr="00563A94" w:rsidRDefault="00563A94" w:rsidP="00563A94">
      <w:pPr>
        <w:numPr>
          <w:ilvl w:val="0"/>
          <w:numId w:val="11"/>
        </w:numPr>
        <w:jc w:val="both"/>
        <w:rPr>
          <w:rFonts w:ascii="Times New Roman" w:hAnsi="Times New Roman" w:cs="Times New Roman"/>
          <w:b/>
          <w:bCs/>
          <w:color w:val="156082" w:themeColor="accent1"/>
        </w:rPr>
      </w:pPr>
      <w:r w:rsidRPr="00563A94">
        <w:rPr>
          <w:rFonts w:ascii="Times New Roman" w:hAnsi="Times New Roman" w:cs="Times New Roman"/>
          <w:b/>
          <w:bCs/>
          <w:color w:val="156082" w:themeColor="accent1"/>
        </w:rPr>
        <w:lastRenderedPageBreak/>
        <w:t>ESG Framework</w:t>
      </w:r>
    </w:p>
    <w:p w14:paraId="33632E89" w14:textId="77777777" w:rsidR="00563A94" w:rsidRPr="00563A94" w:rsidRDefault="00563A94" w:rsidP="00563A94">
      <w:pPr>
        <w:jc w:val="both"/>
        <w:rPr>
          <w:rFonts w:ascii="Times New Roman" w:hAnsi="Times New Roman" w:cs="Times New Roman"/>
          <w:color w:val="156082" w:themeColor="accent1"/>
        </w:rPr>
      </w:pPr>
      <w:r w:rsidRPr="00563A94">
        <w:rPr>
          <w:rFonts w:ascii="Times New Roman" w:hAnsi="Times New Roman" w:cs="Times New Roman"/>
          <w:color w:val="156082" w:themeColor="accent1"/>
        </w:rPr>
        <w:t>"ESG Framework" means any reporting standard, disclosure framework, sustainability standard, governance framework, ESG policy, ESG methodology, or ESG compliance framework.</w:t>
      </w:r>
    </w:p>
    <w:p w14:paraId="7EFCFD15" w14:textId="77777777" w:rsidR="00563A94" w:rsidRPr="00563A94" w:rsidRDefault="00563A94" w:rsidP="00563A94">
      <w:pPr>
        <w:numPr>
          <w:ilvl w:val="0"/>
          <w:numId w:val="12"/>
        </w:numPr>
        <w:jc w:val="both"/>
        <w:rPr>
          <w:rFonts w:ascii="Times New Roman" w:hAnsi="Times New Roman" w:cs="Times New Roman"/>
          <w:b/>
          <w:bCs/>
          <w:color w:val="156082" w:themeColor="accent1"/>
        </w:rPr>
      </w:pPr>
      <w:r w:rsidRPr="00563A94">
        <w:rPr>
          <w:rFonts w:ascii="Times New Roman" w:hAnsi="Times New Roman" w:cs="Times New Roman"/>
          <w:b/>
          <w:bCs/>
          <w:color w:val="156082" w:themeColor="accent1"/>
        </w:rPr>
        <w:t>ESG Documentation</w:t>
      </w:r>
    </w:p>
    <w:p w14:paraId="10FFD511" w14:textId="798D0748" w:rsidR="00563A94" w:rsidRPr="00563A94" w:rsidRDefault="00563A94" w:rsidP="00563A94">
      <w:pPr>
        <w:jc w:val="both"/>
        <w:rPr>
          <w:rFonts w:ascii="Times New Roman" w:hAnsi="Times New Roman" w:cs="Times New Roman"/>
          <w:color w:val="156082" w:themeColor="accent1"/>
        </w:rPr>
      </w:pPr>
      <w:r w:rsidRPr="00563A94">
        <w:rPr>
          <w:rFonts w:ascii="Times New Roman" w:hAnsi="Times New Roman" w:cs="Times New Roman"/>
          <w:color w:val="156082" w:themeColor="accent1"/>
        </w:rPr>
        <w:t>"ESG Documentation" means ESG reports, sustainability reports, ESG assessments, ESG audits, ESG scorecards, ESG disclosures, sustainability disclosures, governance reports, and related documentation.</w:t>
      </w:r>
    </w:p>
    <w:p w14:paraId="419DA9DE" w14:textId="77777777" w:rsidR="00563A94" w:rsidRPr="00563A94" w:rsidRDefault="00563A94" w:rsidP="00563A94">
      <w:pPr>
        <w:jc w:val="both"/>
        <w:rPr>
          <w:rFonts w:ascii="Times New Roman" w:hAnsi="Times New Roman" w:cs="Times New Roman"/>
          <w:b/>
          <w:bCs/>
          <w:color w:val="156082" w:themeColor="accent1"/>
        </w:rPr>
      </w:pPr>
      <w:r w:rsidRPr="00563A94">
        <w:rPr>
          <w:rFonts w:ascii="Times New Roman" w:hAnsi="Times New Roman" w:cs="Times New Roman"/>
          <w:b/>
          <w:bCs/>
          <w:color w:val="156082" w:themeColor="accent1"/>
        </w:rPr>
        <w:t>D. CONFIDENTIAL INFORMATION EXPANSION</w:t>
      </w:r>
    </w:p>
    <w:p w14:paraId="588A886E" w14:textId="77777777" w:rsidR="00563A94" w:rsidRPr="00563A94" w:rsidRDefault="00563A94" w:rsidP="00563A94">
      <w:pPr>
        <w:jc w:val="both"/>
        <w:rPr>
          <w:rFonts w:ascii="Times New Roman" w:hAnsi="Times New Roman" w:cs="Times New Roman"/>
          <w:color w:val="156082" w:themeColor="accent1"/>
        </w:rPr>
      </w:pPr>
      <w:r w:rsidRPr="00563A94">
        <w:rPr>
          <w:rFonts w:ascii="Times New Roman" w:hAnsi="Times New Roman" w:cs="Times New Roman"/>
          <w:color w:val="156082" w:themeColor="accent1"/>
        </w:rPr>
        <w:t>Without limitation, Confidential Information includes:</w:t>
      </w:r>
    </w:p>
    <w:p w14:paraId="55A0DB8C" w14:textId="77777777" w:rsidR="00563A94" w:rsidRPr="00563A94" w:rsidRDefault="00563A94" w:rsidP="00563A94">
      <w:pPr>
        <w:jc w:val="both"/>
        <w:rPr>
          <w:rFonts w:ascii="Times New Roman" w:hAnsi="Times New Roman" w:cs="Times New Roman"/>
          <w:color w:val="156082" w:themeColor="accent1"/>
        </w:rPr>
      </w:pPr>
      <w:r w:rsidRPr="00563A94">
        <w:rPr>
          <w:rFonts w:ascii="Times New Roman" w:hAnsi="Times New Roman" w:cs="Times New Roman"/>
          <w:color w:val="156082" w:themeColor="accent1"/>
        </w:rPr>
        <w:t>(a) ESG strategies, ESG policies, sustainability strategies, climate strategies, responsible business strategies, and ESG implementation plans;</w:t>
      </w:r>
    </w:p>
    <w:p w14:paraId="17135FCE" w14:textId="77777777" w:rsidR="00563A94" w:rsidRPr="00563A94" w:rsidRDefault="00563A94" w:rsidP="00563A94">
      <w:pPr>
        <w:jc w:val="both"/>
        <w:rPr>
          <w:rFonts w:ascii="Times New Roman" w:hAnsi="Times New Roman" w:cs="Times New Roman"/>
          <w:color w:val="156082" w:themeColor="accent1"/>
        </w:rPr>
      </w:pPr>
      <w:r w:rsidRPr="00563A94">
        <w:rPr>
          <w:rFonts w:ascii="Times New Roman" w:hAnsi="Times New Roman" w:cs="Times New Roman"/>
          <w:color w:val="156082" w:themeColor="accent1"/>
        </w:rPr>
        <w:t>(b) ESG reports, sustainability reports, ESG disclosures, sustainability disclosures, integrated reports, and non-financial reporting materials;</w:t>
      </w:r>
    </w:p>
    <w:p w14:paraId="5D4F226C" w14:textId="77777777" w:rsidR="00563A94" w:rsidRPr="00563A94" w:rsidRDefault="00563A94" w:rsidP="00563A94">
      <w:pPr>
        <w:jc w:val="both"/>
        <w:rPr>
          <w:rFonts w:ascii="Times New Roman" w:hAnsi="Times New Roman" w:cs="Times New Roman"/>
          <w:color w:val="156082" w:themeColor="accent1"/>
        </w:rPr>
      </w:pPr>
      <w:r w:rsidRPr="00563A94">
        <w:rPr>
          <w:rFonts w:ascii="Times New Roman" w:hAnsi="Times New Roman" w:cs="Times New Roman"/>
          <w:color w:val="156082" w:themeColor="accent1"/>
        </w:rPr>
        <w:t>(c) environmental performance data, emissions data, carbon reduction data, resource efficiency information, waste management information, and environmental performance indicators;</w:t>
      </w:r>
    </w:p>
    <w:p w14:paraId="3FE8791A" w14:textId="77777777" w:rsidR="00563A94" w:rsidRPr="00563A94" w:rsidRDefault="00563A94" w:rsidP="00563A94">
      <w:pPr>
        <w:jc w:val="both"/>
        <w:rPr>
          <w:rFonts w:ascii="Times New Roman" w:hAnsi="Times New Roman" w:cs="Times New Roman"/>
          <w:color w:val="156082" w:themeColor="accent1"/>
        </w:rPr>
      </w:pPr>
      <w:r w:rsidRPr="00563A94">
        <w:rPr>
          <w:rFonts w:ascii="Times New Roman" w:hAnsi="Times New Roman" w:cs="Times New Roman"/>
          <w:color w:val="156082" w:themeColor="accent1"/>
        </w:rPr>
        <w:t xml:space="preserve">(d) social performance data, stakeholder engagement information, </w:t>
      </w:r>
      <w:proofErr w:type="spellStart"/>
      <w:r w:rsidRPr="00563A94">
        <w:rPr>
          <w:rFonts w:ascii="Times New Roman" w:hAnsi="Times New Roman" w:cs="Times New Roman"/>
          <w:color w:val="156082" w:themeColor="accent1"/>
        </w:rPr>
        <w:t>labor</w:t>
      </w:r>
      <w:proofErr w:type="spellEnd"/>
      <w:r w:rsidRPr="00563A94">
        <w:rPr>
          <w:rFonts w:ascii="Times New Roman" w:hAnsi="Times New Roman" w:cs="Times New Roman"/>
          <w:color w:val="156082" w:themeColor="accent1"/>
        </w:rPr>
        <w:t xml:space="preserve"> practices information, workforce diversity information, community development initiatives, and social performance indicators;</w:t>
      </w:r>
    </w:p>
    <w:p w14:paraId="547ABB8D" w14:textId="77777777" w:rsidR="00563A94" w:rsidRPr="00563A94" w:rsidRDefault="00563A94" w:rsidP="00563A94">
      <w:pPr>
        <w:jc w:val="both"/>
        <w:rPr>
          <w:rFonts w:ascii="Times New Roman" w:hAnsi="Times New Roman" w:cs="Times New Roman"/>
          <w:color w:val="156082" w:themeColor="accent1"/>
        </w:rPr>
      </w:pPr>
      <w:r w:rsidRPr="00563A94">
        <w:rPr>
          <w:rFonts w:ascii="Times New Roman" w:hAnsi="Times New Roman" w:cs="Times New Roman"/>
          <w:color w:val="156082" w:themeColor="accent1"/>
        </w:rPr>
        <w:t>(e) governance structures, governance policies, board information, risk management frameworks, ethics programs, compliance frameworks, and governance assessments;</w:t>
      </w:r>
    </w:p>
    <w:p w14:paraId="0379F9A7" w14:textId="77777777" w:rsidR="00563A94" w:rsidRPr="00563A94" w:rsidRDefault="00563A94" w:rsidP="00563A94">
      <w:pPr>
        <w:jc w:val="both"/>
        <w:rPr>
          <w:rFonts w:ascii="Times New Roman" w:hAnsi="Times New Roman" w:cs="Times New Roman"/>
          <w:color w:val="156082" w:themeColor="accent1"/>
        </w:rPr>
      </w:pPr>
      <w:r w:rsidRPr="00563A94">
        <w:rPr>
          <w:rFonts w:ascii="Times New Roman" w:hAnsi="Times New Roman" w:cs="Times New Roman"/>
          <w:color w:val="156082" w:themeColor="accent1"/>
        </w:rPr>
        <w:t>(f) ESG ratings, ESG scorecards, ESG benchmarks, sustainability rankings, ESG evaluations, and rating agency assessments;</w:t>
      </w:r>
    </w:p>
    <w:p w14:paraId="796B1E95" w14:textId="77777777" w:rsidR="00563A94" w:rsidRPr="00563A94" w:rsidRDefault="00563A94" w:rsidP="00563A94">
      <w:pPr>
        <w:jc w:val="both"/>
        <w:rPr>
          <w:rFonts w:ascii="Times New Roman" w:hAnsi="Times New Roman" w:cs="Times New Roman"/>
          <w:color w:val="156082" w:themeColor="accent1"/>
        </w:rPr>
      </w:pPr>
      <w:r w:rsidRPr="00563A94">
        <w:rPr>
          <w:rFonts w:ascii="Times New Roman" w:hAnsi="Times New Roman" w:cs="Times New Roman"/>
          <w:color w:val="156082" w:themeColor="accent1"/>
        </w:rPr>
        <w:t>(g) sustainability-linked financing information, ESG-linked lending information, sustainability performance targets, ESG financing frameworks, and lender assessments;</w:t>
      </w:r>
    </w:p>
    <w:p w14:paraId="1D812CB2" w14:textId="77777777" w:rsidR="00563A94" w:rsidRPr="00563A94" w:rsidRDefault="00563A94" w:rsidP="00563A94">
      <w:pPr>
        <w:jc w:val="both"/>
        <w:rPr>
          <w:rFonts w:ascii="Times New Roman" w:hAnsi="Times New Roman" w:cs="Times New Roman"/>
          <w:color w:val="156082" w:themeColor="accent1"/>
        </w:rPr>
      </w:pPr>
      <w:r w:rsidRPr="00563A94">
        <w:rPr>
          <w:rFonts w:ascii="Times New Roman" w:hAnsi="Times New Roman" w:cs="Times New Roman"/>
          <w:color w:val="156082" w:themeColor="accent1"/>
        </w:rPr>
        <w:t>(h) climate risk assessments, ESG risk assessments, sustainability risk analyses, transition risk assessments, and resilience planning information;</w:t>
      </w:r>
    </w:p>
    <w:p w14:paraId="7F9C7829" w14:textId="77777777" w:rsidR="00563A94" w:rsidRPr="00563A94" w:rsidRDefault="00563A94" w:rsidP="00563A94">
      <w:pPr>
        <w:jc w:val="both"/>
        <w:rPr>
          <w:rFonts w:ascii="Times New Roman" w:hAnsi="Times New Roman" w:cs="Times New Roman"/>
          <w:color w:val="156082" w:themeColor="accent1"/>
        </w:rPr>
      </w:pPr>
      <w:r w:rsidRPr="00563A94">
        <w:rPr>
          <w:rFonts w:ascii="Times New Roman" w:hAnsi="Times New Roman" w:cs="Times New Roman"/>
          <w:color w:val="156082" w:themeColor="accent1"/>
        </w:rPr>
        <w:t>(</w:t>
      </w:r>
      <w:proofErr w:type="spellStart"/>
      <w:r w:rsidRPr="00563A94">
        <w:rPr>
          <w:rFonts w:ascii="Times New Roman" w:hAnsi="Times New Roman" w:cs="Times New Roman"/>
          <w:color w:val="156082" w:themeColor="accent1"/>
        </w:rPr>
        <w:t>i</w:t>
      </w:r>
      <w:proofErr w:type="spellEnd"/>
      <w:r w:rsidRPr="00563A94">
        <w:rPr>
          <w:rFonts w:ascii="Times New Roman" w:hAnsi="Times New Roman" w:cs="Times New Roman"/>
          <w:color w:val="156082" w:themeColor="accent1"/>
        </w:rPr>
        <w:t>) investor communications, shareholder communications, ESG presentations, sustainability presentations, fundraising materials, and stakeholder engagement materials;</w:t>
      </w:r>
    </w:p>
    <w:p w14:paraId="30BAB262" w14:textId="77777777" w:rsidR="00563A94" w:rsidRPr="00563A94" w:rsidRDefault="00563A94" w:rsidP="00563A94">
      <w:pPr>
        <w:jc w:val="both"/>
        <w:rPr>
          <w:rFonts w:ascii="Times New Roman" w:hAnsi="Times New Roman" w:cs="Times New Roman"/>
          <w:color w:val="156082" w:themeColor="accent1"/>
        </w:rPr>
      </w:pPr>
      <w:r w:rsidRPr="00563A94">
        <w:rPr>
          <w:rFonts w:ascii="Times New Roman" w:hAnsi="Times New Roman" w:cs="Times New Roman"/>
          <w:color w:val="156082" w:themeColor="accent1"/>
        </w:rPr>
        <w:t>(j) ESG due diligence reports, ESG audits, ESG reviews, sustainability assessments, compliance reviews, and independent verification reports;</w:t>
      </w:r>
    </w:p>
    <w:p w14:paraId="055A2C40" w14:textId="77777777" w:rsidR="00563A94" w:rsidRPr="00563A94" w:rsidRDefault="00563A94" w:rsidP="00563A94">
      <w:pPr>
        <w:jc w:val="both"/>
        <w:rPr>
          <w:rFonts w:ascii="Times New Roman" w:hAnsi="Times New Roman" w:cs="Times New Roman"/>
          <w:color w:val="156082" w:themeColor="accent1"/>
        </w:rPr>
      </w:pPr>
      <w:r w:rsidRPr="00563A94">
        <w:rPr>
          <w:rFonts w:ascii="Times New Roman" w:hAnsi="Times New Roman" w:cs="Times New Roman"/>
          <w:color w:val="156082" w:themeColor="accent1"/>
        </w:rPr>
        <w:t>(k) ESG improvement initiatives, sustainability programs, carbon reduction initiatives, community engagement programs, and governance enhancement programs;</w:t>
      </w:r>
    </w:p>
    <w:p w14:paraId="6F605423" w14:textId="77777777" w:rsidR="00563A94" w:rsidRPr="00563A94" w:rsidRDefault="00563A94" w:rsidP="00563A94">
      <w:pPr>
        <w:jc w:val="both"/>
        <w:rPr>
          <w:rFonts w:ascii="Times New Roman" w:hAnsi="Times New Roman" w:cs="Times New Roman"/>
          <w:color w:val="156082" w:themeColor="accent1"/>
        </w:rPr>
      </w:pPr>
      <w:r w:rsidRPr="00563A94">
        <w:rPr>
          <w:rFonts w:ascii="Times New Roman" w:hAnsi="Times New Roman" w:cs="Times New Roman"/>
          <w:color w:val="156082" w:themeColor="accent1"/>
        </w:rPr>
        <w:t>(l) ESG transaction opportunities, sustainability partnerships, strategic ESG initiatives, impact investment opportunities, and ESG collaboration opportunities; and</w:t>
      </w:r>
    </w:p>
    <w:p w14:paraId="5EA5716A" w14:textId="3F8F93F7" w:rsidR="00563A94" w:rsidRPr="00563A94" w:rsidRDefault="00563A94" w:rsidP="00563A94">
      <w:pPr>
        <w:jc w:val="both"/>
        <w:rPr>
          <w:rFonts w:ascii="Times New Roman" w:hAnsi="Times New Roman" w:cs="Times New Roman"/>
          <w:color w:val="156082" w:themeColor="accent1"/>
        </w:rPr>
      </w:pPr>
      <w:r w:rsidRPr="00563A94">
        <w:rPr>
          <w:rFonts w:ascii="Times New Roman" w:hAnsi="Times New Roman" w:cs="Times New Roman"/>
          <w:color w:val="156082" w:themeColor="accent1"/>
        </w:rPr>
        <w:lastRenderedPageBreak/>
        <w:t>(m) any other commercial, financial, operational, environmental, social, governance-related, sustainability-related, ESG-related, renewable-energy-related, strategic, or proprietary information disclosed in connection with ESG activities.</w:t>
      </w:r>
    </w:p>
    <w:p w14:paraId="0BFCE167" w14:textId="77777777" w:rsidR="00563A94" w:rsidRPr="00563A94" w:rsidRDefault="00563A94" w:rsidP="00563A94">
      <w:pPr>
        <w:jc w:val="both"/>
        <w:rPr>
          <w:rFonts w:ascii="Times New Roman" w:hAnsi="Times New Roman" w:cs="Times New Roman"/>
          <w:b/>
          <w:bCs/>
          <w:color w:val="156082" w:themeColor="accent1"/>
        </w:rPr>
      </w:pPr>
      <w:r w:rsidRPr="00563A94">
        <w:rPr>
          <w:rFonts w:ascii="Times New Roman" w:hAnsi="Times New Roman" w:cs="Times New Roman"/>
          <w:b/>
          <w:bCs/>
          <w:color w:val="156082" w:themeColor="accent1"/>
        </w:rPr>
        <w:t>E. OPTIONAL INTRODUCED CONTACTS DATASET</w:t>
      </w:r>
    </w:p>
    <w:p w14:paraId="7F5FE37D" w14:textId="77777777" w:rsidR="00563A94" w:rsidRPr="00563A94" w:rsidRDefault="00563A94" w:rsidP="00563A94">
      <w:pPr>
        <w:jc w:val="both"/>
        <w:rPr>
          <w:rFonts w:ascii="Times New Roman" w:hAnsi="Times New Roman" w:cs="Times New Roman"/>
          <w:color w:val="156082" w:themeColor="accent1"/>
        </w:rPr>
      </w:pPr>
      <w:r w:rsidRPr="00563A94">
        <w:rPr>
          <w:rFonts w:ascii="Times New Roman" w:hAnsi="Times New Roman" w:cs="Times New Roman"/>
          <w:color w:val="156082" w:themeColor="accent1"/>
        </w:rPr>
        <w:t>Infrastructure Funds</w:t>
      </w:r>
    </w:p>
    <w:p w14:paraId="1CA71FA8" w14:textId="77777777" w:rsidR="00563A94" w:rsidRPr="00563A94" w:rsidRDefault="00563A94" w:rsidP="00563A94">
      <w:pPr>
        <w:jc w:val="both"/>
        <w:rPr>
          <w:rFonts w:ascii="Times New Roman" w:hAnsi="Times New Roman" w:cs="Times New Roman"/>
          <w:color w:val="156082" w:themeColor="accent1"/>
        </w:rPr>
      </w:pPr>
      <w:r w:rsidRPr="00563A94">
        <w:rPr>
          <w:rFonts w:ascii="Times New Roman" w:hAnsi="Times New Roman" w:cs="Times New Roman"/>
          <w:color w:val="156082" w:themeColor="accent1"/>
        </w:rPr>
        <w:t>Institutional Investors</w:t>
      </w:r>
    </w:p>
    <w:p w14:paraId="52764393" w14:textId="77777777" w:rsidR="00563A94" w:rsidRPr="00563A94" w:rsidRDefault="00563A94" w:rsidP="00563A94">
      <w:pPr>
        <w:jc w:val="both"/>
        <w:rPr>
          <w:rFonts w:ascii="Times New Roman" w:hAnsi="Times New Roman" w:cs="Times New Roman"/>
          <w:color w:val="156082" w:themeColor="accent1"/>
        </w:rPr>
      </w:pPr>
      <w:r w:rsidRPr="00563A94">
        <w:rPr>
          <w:rFonts w:ascii="Times New Roman" w:hAnsi="Times New Roman" w:cs="Times New Roman"/>
          <w:color w:val="156082" w:themeColor="accent1"/>
        </w:rPr>
        <w:t>Private Equity Funds</w:t>
      </w:r>
    </w:p>
    <w:p w14:paraId="1E0B4C8D" w14:textId="77777777" w:rsidR="00563A94" w:rsidRPr="00563A94" w:rsidRDefault="00563A94" w:rsidP="00563A94">
      <w:pPr>
        <w:jc w:val="both"/>
        <w:rPr>
          <w:rFonts w:ascii="Times New Roman" w:hAnsi="Times New Roman" w:cs="Times New Roman"/>
          <w:color w:val="156082" w:themeColor="accent1"/>
        </w:rPr>
      </w:pPr>
      <w:r w:rsidRPr="00563A94">
        <w:rPr>
          <w:rFonts w:ascii="Times New Roman" w:hAnsi="Times New Roman" w:cs="Times New Roman"/>
          <w:color w:val="156082" w:themeColor="accent1"/>
        </w:rPr>
        <w:t>Pension Funds</w:t>
      </w:r>
    </w:p>
    <w:p w14:paraId="32847126" w14:textId="77777777" w:rsidR="00563A94" w:rsidRPr="00563A94" w:rsidRDefault="00563A94" w:rsidP="00563A94">
      <w:pPr>
        <w:jc w:val="both"/>
        <w:rPr>
          <w:rFonts w:ascii="Times New Roman" w:hAnsi="Times New Roman" w:cs="Times New Roman"/>
          <w:color w:val="156082" w:themeColor="accent1"/>
        </w:rPr>
      </w:pPr>
      <w:r w:rsidRPr="00563A94">
        <w:rPr>
          <w:rFonts w:ascii="Times New Roman" w:hAnsi="Times New Roman" w:cs="Times New Roman"/>
          <w:color w:val="156082" w:themeColor="accent1"/>
        </w:rPr>
        <w:t>Sovereign Wealth Funds</w:t>
      </w:r>
    </w:p>
    <w:p w14:paraId="1DF593ED" w14:textId="77777777" w:rsidR="00563A94" w:rsidRPr="00563A94" w:rsidRDefault="00563A94" w:rsidP="00563A94">
      <w:pPr>
        <w:jc w:val="both"/>
        <w:rPr>
          <w:rFonts w:ascii="Times New Roman" w:hAnsi="Times New Roman" w:cs="Times New Roman"/>
          <w:color w:val="156082" w:themeColor="accent1"/>
        </w:rPr>
      </w:pPr>
      <w:r w:rsidRPr="00563A94">
        <w:rPr>
          <w:rFonts w:ascii="Times New Roman" w:hAnsi="Times New Roman" w:cs="Times New Roman"/>
          <w:color w:val="156082" w:themeColor="accent1"/>
        </w:rPr>
        <w:t>Project Developers</w:t>
      </w:r>
    </w:p>
    <w:p w14:paraId="7138ABC2" w14:textId="77777777" w:rsidR="00563A94" w:rsidRPr="00563A94" w:rsidRDefault="00563A94" w:rsidP="00563A94">
      <w:pPr>
        <w:jc w:val="both"/>
        <w:rPr>
          <w:rFonts w:ascii="Times New Roman" w:hAnsi="Times New Roman" w:cs="Times New Roman"/>
          <w:color w:val="156082" w:themeColor="accent1"/>
        </w:rPr>
      </w:pPr>
      <w:r w:rsidRPr="00563A94">
        <w:rPr>
          <w:rFonts w:ascii="Times New Roman" w:hAnsi="Times New Roman" w:cs="Times New Roman"/>
          <w:color w:val="156082" w:themeColor="accent1"/>
        </w:rPr>
        <w:t>Project Owners</w:t>
      </w:r>
    </w:p>
    <w:p w14:paraId="26222851" w14:textId="77777777" w:rsidR="00563A94" w:rsidRPr="00563A94" w:rsidRDefault="00563A94" w:rsidP="00563A94">
      <w:pPr>
        <w:jc w:val="both"/>
        <w:rPr>
          <w:rFonts w:ascii="Times New Roman" w:hAnsi="Times New Roman" w:cs="Times New Roman"/>
          <w:color w:val="156082" w:themeColor="accent1"/>
        </w:rPr>
      </w:pPr>
      <w:r w:rsidRPr="00563A94">
        <w:rPr>
          <w:rFonts w:ascii="Times New Roman" w:hAnsi="Times New Roman" w:cs="Times New Roman"/>
          <w:color w:val="156082" w:themeColor="accent1"/>
        </w:rPr>
        <w:t>Asset Managers</w:t>
      </w:r>
    </w:p>
    <w:p w14:paraId="07716234" w14:textId="77777777" w:rsidR="00563A94" w:rsidRPr="00563A94" w:rsidRDefault="00563A94" w:rsidP="00563A94">
      <w:pPr>
        <w:jc w:val="both"/>
        <w:rPr>
          <w:rFonts w:ascii="Times New Roman" w:hAnsi="Times New Roman" w:cs="Times New Roman"/>
          <w:color w:val="156082" w:themeColor="accent1"/>
        </w:rPr>
      </w:pPr>
      <w:r w:rsidRPr="00563A94">
        <w:rPr>
          <w:rFonts w:ascii="Times New Roman" w:hAnsi="Times New Roman" w:cs="Times New Roman"/>
          <w:color w:val="156082" w:themeColor="accent1"/>
        </w:rPr>
        <w:t>ESG Consultants</w:t>
      </w:r>
    </w:p>
    <w:p w14:paraId="23D10FE7" w14:textId="77777777" w:rsidR="00563A94" w:rsidRPr="00563A94" w:rsidRDefault="00563A94" w:rsidP="00563A94">
      <w:pPr>
        <w:jc w:val="both"/>
        <w:rPr>
          <w:rFonts w:ascii="Times New Roman" w:hAnsi="Times New Roman" w:cs="Times New Roman"/>
          <w:color w:val="156082" w:themeColor="accent1"/>
        </w:rPr>
      </w:pPr>
      <w:r w:rsidRPr="00563A94">
        <w:rPr>
          <w:rFonts w:ascii="Times New Roman" w:hAnsi="Times New Roman" w:cs="Times New Roman"/>
          <w:color w:val="156082" w:themeColor="accent1"/>
        </w:rPr>
        <w:t>Sustainability Consultants</w:t>
      </w:r>
    </w:p>
    <w:p w14:paraId="265BCE70" w14:textId="77777777" w:rsidR="00563A94" w:rsidRPr="00563A94" w:rsidRDefault="00563A94" w:rsidP="00563A94">
      <w:pPr>
        <w:jc w:val="both"/>
        <w:rPr>
          <w:rFonts w:ascii="Times New Roman" w:hAnsi="Times New Roman" w:cs="Times New Roman"/>
          <w:color w:val="156082" w:themeColor="accent1"/>
        </w:rPr>
      </w:pPr>
      <w:r w:rsidRPr="00563A94">
        <w:rPr>
          <w:rFonts w:ascii="Times New Roman" w:hAnsi="Times New Roman" w:cs="Times New Roman"/>
          <w:color w:val="156082" w:themeColor="accent1"/>
        </w:rPr>
        <w:t>ESG Rating Agencies</w:t>
      </w:r>
    </w:p>
    <w:p w14:paraId="2B0B5709" w14:textId="77777777" w:rsidR="00563A94" w:rsidRPr="00563A94" w:rsidRDefault="00563A94" w:rsidP="00563A94">
      <w:pPr>
        <w:jc w:val="both"/>
        <w:rPr>
          <w:rFonts w:ascii="Times New Roman" w:hAnsi="Times New Roman" w:cs="Times New Roman"/>
          <w:color w:val="156082" w:themeColor="accent1"/>
        </w:rPr>
      </w:pPr>
      <w:r w:rsidRPr="00563A94">
        <w:rPr>
          <w:rFonts w:ascii="Times New Roman" w:hAnsi="Times New Roman" w:cs="Times New Roman"/>
          <w:color w:val="156082" w:themeColor="accent1"/>
        </w:rPr>
        <w:t>Independent Auditors</w:t>
      </w:r>
    </w:p>
    <w:p w14:paraId="6D16BE85" w14:textId="77777777" w:rsidR="00563A94" w:rsidRPr="00563A94" w:rsidRDefault="00563A94" w:rsidP="00563A94">
      <w:pPr>
        <w:jc w:val="both"/>
        <w:rPr>
          <w:rFonts w:ascii="Times New Roman" w:hAnsi="Times New Roman" w:cs="Times New Roman"/>
          <w:color w:val="156082" w:themeColor="accent1"/>
        </w:rPr>
      </w:pPr>
      <w:r w:rsidRPr="00563A94">
        <w:rPr>
          <w:rFonts w:ascii="Times New Roman" w:hAnsi="Times New Roman" w:cs="Times New Roman"/>
          <w:color w:val="156082" w:themeColor="accent1"/>
        </w:rPr>
        <w:t>Environmental Consultants</w:t>
      </w:r>
    </w:p>
    <w:p w14:paraId="1C97F4BF" w14:textId="77777777" w:rsidR="00563A94" w:rsidRPr="00563A94" w:rsidRDefault="00563A94" w:rsidP="00563A94">
      <w:pPr>
        <w:jc w:val="both"/>
        <w:rPr>
          <w:rFonts w:ascii="Times New Roman" w:hAnsi="Times New Roman" w:cs="Times New Roman"/>
          <w:color w:val="156082" w:themeColor="accent1"/>
        </w:rPr>
      </w:pPr>
      <w:r w:rsidRPr="00563A94">
        <w:rPr>
          <w:rFonts w:ascii="Times New Roman" w:hAnsi="Times New Roman" w:cs="Times New Roman"/>
          <w:color w:val="156082" w:themeColor="accent1"/>
        </w:rPr>
        <w:t>Social Consultants</w:t>
      </w:r>
    </w:p>
    <w:p w14:paraId="0C9503C1" w14:textId="77777777" w:rsidR="00563A94" w:rsidRPr="00563A94" w:rsidRDefault="00563A94" w:rsidP="00563A94">
      <w:pPr>
        <w:jc w:val="both"/>
        <w:rPr>
          <w:rFonts w:ascii="Times New Roman" w:hAnsi="Times New Roman" w:cs="Times New Roman"/>
          <w:color w:val="156082" w:themeColor="accent1"/>
        </w:rPr>
      </w:pPr>
      <w:r w:rsidRPr="00563A94">
        <w:rPr>
          <w:rFonts w:ascii="Times New Roman" w:hAnsi="Times New Roman" w:cs="Times New Roman"/>
          <w:color w:val="156082" w:themeColor="accent1"/>
        </w:rPr>
        <w:t>Governance Advisors</w:t>
      </w:r>
    </w:p>
    <w:p w14:paraId="4BBDB7B6" w14:textId="77777777" w:rsidR="00563A94" w:rsidRPr="00563A94" w:rsidRDefault="00563A94" w:rsidP="00563A94">
      <w:pPr>
        <w:jc w:val="both"/>
        <w:rPr>
          <w:rFonts w:ascii="Times New Roman" w:hAnsi="Times New Roman" w:cs="Times New Roman"/>
          <w:color w:val="156082" w:themeColor="accent1"/>
        </w:rPr>
      </w:pPr>
      <w:r w:rsidRPr="00563A94">
        <w:rPr>
          <w:rFonts w:ascii="Times New Roman" w:hAnsi="Times New Roman" w:cs="Times New Roman"/>
          <w:color w:val="156082" w:themeColor="accent1"/>
        </w:rPr>
        <w:t>Legal Advisors</w:t>
      </w:r>
    </w:p>
    <w:p w14:paraId="483DAE96" w14:textId="77777777" w:rsidR="00563A94" w:rsidRPr="00563A94" w:rsidRDefault="00563A94" w:rsidP="00563A94">
      <w:pPr>
        <w:jc w:val="both"/>
        <w:rPr>
          <w:rFonts w:ascii="Times New Roman" w:hAnsi="Times New Roman" w:cs="Times New Roman"/>
          <w:color w:val="156082" w:themeColor="accent1"/>
        </w:rPr>
      </w:pPr>
      <w:r w:rsidRPr="00563A94">
        <w:rPr>
          <w:rFonts w:ascii="Times New Roman" w:hAnsi="Times New Roman" w:cs="Times New Roman"/>
          <w:color w:val="156082" w:themeColor="accent1"/>
        </w:rPr>
        <w:t>Lenders</w:t>
      </w:r>
    </w:p>
    <w:p w14:paraId="015F98CC" w14:textId="77777777" w:rsidR="00563A94" w:rsidRPr="00563A94" w:rsidRDefault="00563A94" w:rsidP="00563A94">
      <w:pPr>
        <w:jc w:val="both"/>
        <w:rPr>
          <w:rFonts w:ascii="Times New Roman" w:hAnsi="Times New Roman" w:cs="Times New Roman"/>
          <w:color w:val="156082" w:themeColor="accent1"/>
        </w:rPr>
      </w:pPr>
      <w:r w:rsidRPr="00563A94">
        <w:rPr>
          <w:rFonts w:ascii="Times New Roman" w:hAnsi="Times New Roman" w:cs="Times New Roman"/>
          <w:color w:val="156082" w:themeColor="accent1"/>
        </w:rPr>
        <w:t>Banks</w:t>
      </w:r>
    </w:p>
    <w:p w14:paraId="4B757797" w14:textId="77777777" w:rsidR="00563A94" w:rsidRPr="00563A94" w:rsidRDefault="00563A94" w:rsidP="00563A94">
      <w:pPr>
        <w:jc w:val="both"/>
        <w:rPr>
          <w:rFonts w:ascii="Times New Roman" w:hAnsi="Times New Roman" w:cs="Times New Roman"/>
          <w:color w:val="156082" w:themeColor="accent1"/>
        </w:rPr>
      </w:pPr>
      <w:r w:rsidRPr="00563A94">
        <w:rPr>
          <w:rFonts w:ascii="Times New Roman" w:hAnsi="Times New Roman" w:cs="Times New Roman"/>
          <w:color w:val="156082" w:themeColor="accent1"/>
        </w:rPr>
        <w:t>Multilateral Institutions</w:t>
      </w:r>
    </w:p>
    <w:p w14:paraId="7479BF82" w14:textId="77777777" w:rsidR="00563A94" w:rsidRPr="00563A94" w:rsidRDefault="00563A94" w:rsidP="00563A94">
      <w:pPr>
        <w:jc w:val="both"/>
        <w:rPr>
          <w:rFonts w:ascii="Times New Roman" w:hAnsi="Times New Roman" w:cs="Times New Roman"/>
          <w:color w:val="156082" w:themeColor="accent1"/>
        </w:rPr>
      </w:pPr>
      <w:r w:rsidRPr="00563A94">
        <w:rPr>
          <w:rFonts w:ascii="Times New Roman" w:hAnsi="Times New Roman" w:cs="Times New Roman"/>
          <w:color w:val="156082" w:themeColor="accent1"/>
        </w:rPr>
        <w:t>Government Authorities</w:t>
      </w:r>
    </w:p>
    <w:p w14:paraId="7DB4D9DB" w14:textId="77777777" w:rsidR="00563A94" w:rsidRPr="00563A94" w:rsidRDefault="00563A94" w:rsidP="00563A94">
      <w:pPr>
        <w:jc w:val="both"/>
        <w:rPr>
          <w:rFonts w:ascii="Times New Roman" w:hAnsi="Times New Roman" w:cs="Times New Roman"/>
          <w:color w:val="156082" w:themeColor="accent1"/>
        </w:rPr>
      </w:pPr>
      <w:r w:rsidRPr="00563A94">
        <w:rPr>
          <w:rFonts w:ascii="Times New Roman" w:hAnsi="Times New Roman" w:cs="Times New Roman"/>
          <w:color w:val="156082" w:themeColor="accent1"/>
        </w:rPr>
        <w:t>Strategic Partners</w:t>
      </w:r>
    </w:p>
    <w:p w14:paraId="48392A43" w14:textId="77777777" w:rsidR="00563A94" w:rsidRPr="00563A94" w:rsidRDefault="00563A94" w:rsidP="00563A94">
      <w:pPr>
        <w:jc w:val="both"/>
        <w:rPr>
          <w:rFonts w:ascii="Times New Roman" w:hAnsi="Times New Roman" w:cs="Times New Roman"/>
          <w:color w:val="156082" w:themeColor="accent1"/>
        </w:rPr>
      </w:pPr>
    </w:p>
    <w:sectPr w:rsidR="00563A94" w:rsidRPr="00563A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76C98"/>
    <w:multiLevelType w:val="multilevel"/>
    <w:tmpl w:val="BEE02E48"/>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146F23C1"/>
    <w:multiLevelType w:val="multilevel"/>
    <w:tmpl w:val="AC8889E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197020CC"/>
    <w:multiLevelType w:val="multilevel"/>
    <w:tmpl w:val="BB82DC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CE7337"/>
    <w:multiLevelType w:val="multilevel"/>
    <w:tmpl w:val="9AB0DBC8"/>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2DDC1BF8"/>
    <w:multiLevelType w:val="multilevel"/>
    <w:tmpl w:val="68FC0CAE"/>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2ECA2808"/>
    <w:multiLevelType w:val="multilevel"/>
    <w:tmpl w:val="00AADDB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2E1A99"/>
    <w:multiLevelType w:val="multilevel"/>
    <w:tmpl w:val="10EA3304"/>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51EA4E12"/>
    <w:multiLevelType w:val="multilevel"/>
    <w:tmpl w:val="BF64EFA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C719BB"/>
    <w:multiLevelType w:val="multilevel"/>
    <w:tmpl w:val="96F269CE"/>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612E5D5E"/>
    <w:multiLevelType w:val="multilevel"/>
    <w:tmpl w:val="43D6D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0D7FE3"/>
    <w:multiLevelType w:val="multilevel"/>
    <w:tmpl w:val="12280A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AAD4156"/>
    <w:multiLevelType w:val="multilevel"/>
    <w:tmpl w:val="7CF8C88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8336900">
    <w:abstractNumId w:val="9"/>
  </w:num>
  <w:num w:numId="2" w16cid:durableId="583537633">
    <w:abstractNumId w:val="2"/>
  </w:num>
  <w:num w:numId="3" w16cid:durableId="89739164">
    <w:abstractNumId w:val="10"/>
  </w:num>
  <w:num w:numId="4" w16cid:durableId="1067996781">
    <w:abstractNumId w:val="11"/>
  </w:num>
  <w:num w:numId="5" w16cid:durableId="1141533550">
    <w:abstractNumId w:val="7"/>
  </w:num>
  <w:num w:numId="6" w16cid:durableId="437674748">
    <w:abstractNumId w:val="5"/>
  </w:num>
  <w:num w:numId="7" w16cid:durableId="1828202836">
    <w:abstractNumId w:val="1"/>
  </w:num>
  <w:num w:numId="8" w16cid:durableId="1520394466">
    <w:abstractNumId w:val="4"/>
  </w:num>
  <w:num w:numId="9" w16cid:durableId="125052745">
    <w:abstractNumId w:val="0"/>
  </w:num>
  <w:num w:numId="10" w16cid:durableId="793523408">
    <w:abstractNumId w:val="8"/>
  </w:num>
  <w:num w:numId="11" w16cid:durableId="1409884055">
    <w:abstractNumId w:val="6"/>
  </w:num>
  <w:num w:numId="12" w16cid:durableId="6083956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A94"/>
    <w:rsid w:val="000A7ED5"/>
    <w:rsid w:val="00563A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928E6"/>
  <w15:chartTrackingRefBased/>
  <w15:docId w15:val="{35C22A19-C65E-463F-875C-E8B9B32AC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3A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3A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3A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3A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3A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3A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3A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3A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3A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A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3A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3A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3A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3A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3A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3A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3A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3A94"/>
    <w:rPr>
      <w:rFonts w:eastAsiaTheme="majorEastAsia" w:cstheme="majorBidi"/>
      <w:color w:val="272727" w:themeColor="text1" w:themeTint="D8"/>
    </w:rPr>
  </w:style>
  <w:style w:type="paragraph" w:styleId="Title">
    <w:name w:val="Title"/>
    <w:basedOn w:val="Normal"/>
    <w:next w:val="Normal"/>
    <w:link w:val="TitleChar"/>
    <w:uiPriority w:val="10"/>
    <w:qFormat/>
    <w:rsid w:val="00563A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3A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3A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3A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3A94"/>
    <w:pPr>
      <w:spacing w:before="160"/>
      <w:jc w:val="center"/>
    </w:pPr>
    <w:rPr>
      <w:i/>
      <w:iCs/>
      <w:color w:val="404040" w:themeColor="text1" w:themeTint="BF"/>
    </w:rPr>
  </w:style>
  <w:style w:type="character" w:customStyle="1" w:styleId="QuoteChar">
    <w:name w:val="Quote Char"/>
    <w:basedOn w:val="DefaultParagraphFont"/>
    <w:link w:val="Quote"/>
    <w:uiPriority w:val="29"/>
    <w:rsid w:val="00563A94"/>
    <w:rPr>
      <w:i/>
      <w:iCs/>
      <w:color w:val="404040" w:themeColor="text1" w:themeTint="BF"/>
    </w:rPr>
  </w:style>
  <w:style w:type="paragraph" w:styleId="ListParagraph">
    <w:name w:val="List Paragraph"/>
    <w:basedOn w:val="Normal"/>
    <w:uiPriority w:val="34"/>
    <w:qFormat/>
    <w:rsid w:val="00563A94"/>
    <w:pPr>
      <w:ind w:left="720"/>
      <w:contextualSpacing/>
    </w:pPr>
  </w:style>
  <w:style w:type="character" w:styleId="IntenseEmphasis">
    <w:name w:val="Intense Emphasis"/>
    <w:basedOn w:val="DefaultParagraphFont"/>
    <w:uiPriority w:val="21"/>
    <w:qFormat/>
    <w:rsid w:val="00563A94"/>
    <w:rPr>
      <w:i/>
      <w:iCs/>
      <w:color w:val="0F4761" w:themeColor="accent1" w:themeShade="BF"/>
    </w:rPr>
  </w:style>
  <w:style w:type="paragraph" w:styleId="IntenseQuote">
    <w:name w:val="Intense Quote"/>
    <w:basedOn w:val="Normal"/>
    <w:next w:val="Normal"/>
    <w:link w:val="IntenseQuoteChar"/>
    <w:uiPriority w:val="30"/>
    <w:qFormat/>
    <w:rsid w:val="00563A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3A94"/>
    <w:rPr>
      <w:i/>
      <w:iCs/>
      <w:color w:val="0F4761" w:themeColor="accent1" w:themeShade="BF"/>
    </w:rPr>
  </w:style>
  <w:style w:type="character" w:styleId="IntenseReference">
    <w:name w:val="Intense Reference"/>
    <w:basedOn w:val="DefaultParagraphFont"/>
    <w:uiPriority w:val="32"/>
    <w:qFormat/>
    <w:rsid w:val="00563A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791</Words>
  <Characters>4514</Characters>
  <Application>Microsoft Office Word</Application>
  <DocSecurity>0</DocSecurity>
  <Lines>37</Lines>
  <Paragraphs>10</Paragraphs>
  <ScaleCrop>false</ScaleCrop>
  <Company/>
  <LinksUpToDate>false</LinksUpToDate>
  <CharactersWithSpaces>5295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Legal</dc:creator>
  <cp:keywords/>
  <dc:description/>
  <cp:lastModifiedBy>Legal</cp:lastModifiedBy>
  <cp:revision>1</cp:revision>
  <dcterms:created xsi:type="dcterms:W3CDTF">2026-06-10T17:20:00Z</dcterms:created>
  <dcterms:modified xsi:type="dcterms:W3CDTF">2026-06-10T17:23:00Z</dcterms:modified>
</cp:coreProperties>
</file>