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0CE0" w14:textId="77777777" w:rsidR="00D66FD8" w:rsidRPr="00D66FD8" w:rsidRDefault="00D66FD8" w:rsidP="00D66FD8">
      <w:pPr>
        <w:jc w:val="center"/>
        <w:rPr>
          <w:rFonts w:ascii="Times New Roman" w:hAnsi="Times New Roman" w:cs="Times New Roman"/>
          <w:b/>
          <w:bCs/>
          <w:color w:val="156082" w:themeColor="accent1"/>
          <w:u w:val="single"/>
        </w:rPr>
      </w:pPr>
      <w:r w:rsidRPr="00D66FD8">
        <w:rPr>
          <w:rFonts w:ascii="Times New Roman" w:hAnsi="Times New Roman" w:cs="Times New Roman"/>
          <w:b/>
          <w:bCs/>
          <w:color w:val="156082" w:themeColor="accent1"/>
          <w:u w:val="single"/>
        </w:rPr>
        <w:t>RE-37 – TECHNICAL DUE DILIGENCE DISCUSSIONS</w:t>
      </w:r>
    </w:p>
    <w:p w14:paraId="3D09C1BF" w14:textId="77777777" w:rsidR="00D66FD8" w:rsidRPr="00D66FD8" w:rsidRDefault="00D66FD8" w:rsidP="00D66FD8">
      <w:pPr>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A. PURPOSE DEFINITION</w:t>
      </w:r>
    </w:p>
    <w:p w14:paraId="3D8A600A" w14:textId="23A41BBC"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"Purpose" means the evaluation, review, assessment, investigation, verification, validation, audit, technical due diligence, technical risk assessment, engineering review, operational review, asset review, financing review, investment review, acquisition review, or potential transaction involving renewable energy projects, renewable energy assets, project companies, portfolios, infrastructure assets, or associated businesses.</w:t>
      </w:r>
    </w:p>
    <w:p w14:paraId="009338E0" w14:textId="77777777" w:rsidR="00D66FD8" w:rsidRPr="00D66FD8" w:rsidRDefault="00D66FD8" w:rsidP="00D66FD8">
      <w:pPr>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B. RECITAL VARIANT</w:t>
      </w:r>
    </w:p>
    <w:p w14:paraId="2AF9A9AA" w14:textId="77777777" w:rsidR="00D66FD8" w:rsidRPr="00D66FD8" w:rsidRDefault="00D66FD8" w:rsidP="00D66FD8">
      <w:pPr>
        <w:jc w:val="both"/>
        <w:rPr>
          <w:rFonts w:ascii="Times New Roman" w:hAnsi="Times New Roman" w:cs="Times New Roman"/>
          <w:color w:val="156082" w:themeColor="accent1"/>
        </w:rPr>
      </w:pPr>
      <w:proofErr w:type="gramStart"/>
      <w:r w:rsidRPr="00D66FD8">
        <w:rPr>
          <w:rFonts w:ascii="Times New Roman" w:hAnsi="Times New Roman" w:cs="Times New Roman"/>
          <w:color w:val="156082" w:themeColor="accent1"/>
        </w:rPr>
        <w:t>WHEREAS,</w:t>
      </w:r>
      <w:proofErr w:type="gramEnd"/>
      <w:r w:rsidRPr="00D66FD8">
        <w:rPr>
          <w:rFonts w:ascii="Times New Roman" w:hAnsi="Times New Roman" w:cs="Times New Roman"/>
          <w:color w:val="156082" w:themeColor="accent1"/>
        </w:rPr>
        <w:t xml:space="preserve"> the Parties desire to evaluate and conduct technical due diligence in relation to one or more renewable energy projects, renewable energy assets, project companies, infrastructure assets, financing opportunities, acquisition opportunities, investment opportunities, or related commercial transactions;</w:t>
      </w:r>
    </w:p>
    <w:p w14:paraId="46EEB2C1"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WHEREAS, in connection with such evaluations, engineering reviews, technical assessments, investigations, audits, and transaction discussions, the Parties may disclose and exchange confidential technical, operational, commercial, financial, engineering, project-related, and proprietary information;</w:t>
      </w:r>
    </w:p>
    <w:p w14:paraId="64F86AA4" w14:textId="55EDD0AF" w:rsidR="00D66FD8" w:rsidRPr="00D66FD8" w:rsidRDefault="00D66FD8" w:rsidP="00D66FD8">
      <w:pPr>
        <w:jc w:val="both"/>
        <w:rPr>
          <w:rFonts w:ascii="Times New Roman" w:hAnsi="Times New Roman" w:cs="Times New Roman"/>
          <w:color w:val="156082" w:themeColor="accent1"/>
        </w:rPr>
      </w:pPr>
      <w:proofErr w:type="gramStart"/>
      <w:r w:rsidRPr="00D66FD8">
        <w:rPr>
          <w:rFonts w:ascii="Times New Roman" w:hAnsi="Times New Roman" w:cs="Times New Roman"/>
          <w:color w:val="156082" w:themeColor="accent1"/>
        </w:rPr>
        <w:t>WHEREAS,</w:t>
      </w:r>
      <w:proofErr w:type="gramEnd"/>
      <w:r w:rsidRPr="00D66FD8">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291FFD0E" w14:textId="77777777" w:rsidR="00D66FD8" w:rsidRPr="00D66FD8" w:rsidRDefault="00D66FD8" w:rsidP="00D66FD8">
      <w:pPr>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C. ADDITIONAL DEFINITIONS</w:t>
      </w:r>
    </w:p>
    <w:p w14:paraId="4B3BD601" w14:textId="77777777" w:rsidR="00D66FD8" w:rsidRPr="00D66FD8" w:rsidRDefault="00D66FD8" w:rsidP="00D66FD8">
      <w:pPr>
        <w:numPr>
          <w:ilvl w:val="0"/>
          <w:numId w:val="1"/>
        </w:numPr>
        <w:tabs>
          <w:tab w:val="clear" w:pos="360"/>
          <w:tab w:val="num" w:pos="720"/>
        </w:tabs>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Technical Due Diligence</w:t>
      </w:r>
    </w:p>
    <w:p w14:paraId="518DCEFC"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"Technical Due Diligence" means any engineering review, technical assessment, performance evaluation, technology assessment, asset review, operational review, resource assessment, equipment assessment, or technical audit conducted in connection with the Purpose.</w:t>
      </w:r>
    </w:p>
    <w:p w14:paraId="484A8598" w14:textId="77777777" w:rsidR="00D66FD8" w:rsidRPr="00D66FD8" w:rsidRDefault="00D66FD8" w:rsidP="00D66FD8">
      <w:pPr>
        <w:numPr>
          <w:ilvl w:val="0"/>
          <w:numId w:val="2"/>
        </w:numPr>
        <w:tabs>
          <w:tab w:val="clear" w:pos="360"/>
          <w:tab w:val="num" w:pos="720"/>
        </w:tabs>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Technical Information</w:t>
      </w:r>
    </w:p>
    <w:p w14:paraId="6DF3EF35"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"Technical Information" means information relating to engineering, design, technology, equipment, performance, operations, maintenance, construction, commissioning, and technical compliance.</w:t>
      </w:r>
    </w:p>
    <w:p w14:paraId="422CC009" w14:textId="77777777" w:rsidR="00D66FD8" w:rsidRPr="00D66FD8" w:rsidRDefault="00D66FD8" w:rsidP="00D66FD8">
      <w:pPr>
        <w:numPr>
          <w:ilvl w:val="0"/>
          <w:numId w:val="3"/>
        </w:numPr>
        <w:tabs>
          <w:tab w:val="clear" w:pos="360"/>
          <w:tab w:val="num" w:pos="720"/>
        </w:tabs>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Asset Performance Information</w:t>
      </w:r>
    </w:p>
    <w:p w14:paraId="49CFF5CE"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"Asset Performance Information" means information relating to generation performance, availability, reliability, efficiency, degradation, capacity utilization, operational effectiveness, and asset condition.</w:t>
      </w:r>
    </w:p>
    <w:p w14:paraId="4A15C630" w14:textId="77777777" w:rsidR="00D66FD8" w:rsidRPr="00D66FD8" w:rsidRDefault="00D66FD8" w:rsidP="00D66FD8">
      <w:pPr>
        <w:numPr>
          <w:ilvl w:val="0"/>
          <w:numId w:val="4"/>
        </w:numPr>
        <w:tabs>
          <w:tab w:val="clear" w:pos="360"/>
          <w:tab w:val="num" w:pos="720"/>
        </w:tabs>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Engineering Documentation</w:t>
      </w:r>
    </w:p>
    <w:p w14:paraId="4060FDEC"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"Engineering Documentation" means engineering drawings, technical specifications, design calculations, layouts, reports, single-line diagrams, engineering studies, and technical records.</w:t>
      </w:r>
    </w:p>
    <w:p w14:paraId="63FA2272" w14:textId="77777777" w:rsidR="00D66FD8" w:rsidRPr="00D66FD8" w:rsidRDefault="00D66FD8" w:rsidP="00D66FD8">
      <w:pPr>
        <w:numPr>
          <w:ilvl w:val="0"/>
          <w:numId w:val="5"/>
        </w:numPr>
        <w:tabs>
          <w:tab w:val="clear" w:pos="360"/>
          <w:tab w:val="num" w:pos="720"/>
        </w:tabs>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Technical Risk Assessment</w:t>
      </w:r>
    </w:p>
    <w:p w14:paraId="0E0855D8"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lastRenderedPageBreak/>
        <w:t>"Technical Risk Assessment" means any assessment relating to engineering risks, technology risks, equipment risks, operational risks, construction risks, performance risks, or asset-related risks.</w:t>
      </w:r>
    </w:p>
    <w:p w14:paraId="70D1FE8E" w14:textId="77777777" w:rsidR="00D66FD8" w:rsidRPr="00D66FD8" w:rsidRDefault="00D66FD8" w:rsidP="00D66FD8">
      <w:pPr>
        <w:numPr>
          <w:ilvl w:val="0"/>
          <w:numId w:val="6"/>
        </w:numPr>
        <w:tabs>
          <w:tab w:val="clear" w:pos="360"/>
          <w:tab w:val="num" w:pos="720"/>
        </w:tabs>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Technical Due Diligence Documentation</w:t>
      </w:r>
    </w:p>
    <w:p w14:paraId="2C391403" w14:textId="66F3334C"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"Technical Due Diligence Documentation" means technical reports, engineering assessments, independent engineer reports, technical audits, performance reviews, operational reviews, and related documentation.</w:t>
      </w:r>
    </w:p>
    <w:p w14:paraId="24C179A1" w14:textId="77777777" w:rsidR="00D66FD8" w:rsidRPr="00D66FD8" w:rsidRDefault="00D66FD8" w:rsidP="00D66FD8">
      <w:pPr>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D. CONFIDENTIAL INFORMATION EXPANSION</w:t>
      </w:r>
    </w:p>
    <w:p w14:paraId="2D63D45B"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Without limitation, Confidential Information includes:</w:t>
      </w:r>
    </w:p>
    <w:p w14:paraId="69D669BE"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(a) technical due diligence reports, engineering assessments, independent engineer reports, technical audits, technical reviews, and technical findings;</w:t>
      </w:r>
    </w:p>
    <w:p w14:paraId="61A39130"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(b) engineering drawings, technical specifications, project layouts, design documents, system configurations, engineering calculations, and design studies;</w:t>
      </w:r>
    </w:p>
    <w:p w14:paraId="5B05BF3E"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(c) generation reports, availability reports, performance reports, reliability reports, efficiency analyses, degradation studies, and operational assessments;</w:t>
      </w:r>
    </w:p>
    <w:p w14:paraId="0686A171"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(d) solar resource studies, wind resource studies, battery performance studies, hydrogen production studies, forecasting reports, and yield assessments;</w:t>
      </w:r>
    </w:p>
    <w:p w14:paraId="75EC1F73"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(e) equipment specifications, OEM information, warranty information, spare parts strategies, lifecycle analyses, replacement plans, and technical evaluations;</w:t>
      </w:r>
    </w:p>
    <w:p w14:paraId="7E7F6FD7"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(f) EPC documentation, commissioning reports, testing reports, acceptance reports, punch lists, construction reports, and quality assurance documentation;</w:t>
      </w:r>
    </w:p>
    <w:p w14:paraId="79F28F0D"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(g) O&amp;M records, maintenance records, inspection reports, incident reports, fault analyses, root cause analyses, and operational intelligence;</w:t>
      </w:r>
    </w:p>
    <w:p w14:paraId="6966E0FA"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(h) SCADA information, monitoring information, operational data, analytics reports, predictive maintenance information, and digital platform information;</w:t>
      </w:r>
    </w:p>
    <w:p w14:paraId="2AD1CF62"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w:t>
      </w:r>
      <w:proofErr w:type="spellStart"/>
      <w:r w:rsidRPr="00D66FD8">
        <w:rPr>
          <w:rFonts w:ascii="Times New Roman" w:hAnsi="Times New Roman" w:cs="Times New Roman"/>
          <w:color w:val="156082" w:themeColor="accent1"/>
        </w:rPr>
        <w:t>i</w:t>
      </w:r>
      <w:proofErr w:type="spellEnd"/>
      <w:r w:rsidRPr="00D66FD8">
        <w:rPr>
          <w:rFonts w:ascii="Times New Roman" w:hAnsi="Times New Roman" w:cs="Times New Roman"/>
          <w:color w:val="156082" w:themeColor="accent1"/>
        </w:rPr>
        <w:t>) technical risk assessments, performance guarantee reviews, technology assessments, design risk reviews, and operational risk analyses;</w:t>
      </w:r>
    </w:p>
    <w:p w14:paraId="4E0DA00B"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(j) repowering opportunities, augmentation opportunities, performance improvement opportunities, technology upgrade opportunities, and optimization initiatives;</w:t>
      </w:r>
    </w:p>
    <w:p w14:paraId="7BC19DBC"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(k) lender technical reviews, investor technical reviews, acquisition assessments, financing assessments, and transaction support reports;</w:t>
      </w:r>
    </w:p>
    <w:p w14:paraId="4DCD2A09"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(l) technical due diligence findings relating to compliance risks, equipment risks, operational risks, performance risks, and project risks; and</w:t>
      </w:r>
    </w:p>
    <w:p w14:paraId="6EE384D7" w14:textId="7F542ABE"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lastRenderedPageBreak/>
        <w:t>(m) any other technical, engineering, operational, performance-related, equipment-related, project-related, renewable-energy-related, strategic, or proprietary information disclosed in connection with the Technical Due Diligence Process.</w:t>
      </w:r>
    </w:p>
    <w:p w14:paraId="296C2BDC" w14:textId="77777777" w:rsidR="00D66FD8" w:rsidRPr="00D66FD8" w:rsidRDefault="00D66FD8" w:rsidP="00D66FD8">
      <w:pPr>
        <w:jc w:val="both"/>
        <w:rPr>
          <w:rFonts w:ascii="Times New Roman" w:hAnsi="Times New Roman" w:cs="Times New Roman"/>
          <w:b/>
          <w:bCs/>
          <w:color w:val="156082" w:themeColor="accent1"/>
        </w:rPr>
      </w:pPr>
      <w:r w:rsidRPr="00D66FD8">
        <w:rPr>
          <w:rFonts w:ascii="Times New Roman" w:hAnsi="Times New Roman" w:cs="Times New Roman"/>
          <w:b/>
          <w:bCs/>
          <w:color w:val="156082" w:themeColor="accent1"/>
        </w:rPr>
        <w:t>E. OPTIONAL INTRODUCED CONTACTS DATASET</w:t>
      </w:r>
    </w:p>
    <w:p w14:paraId="35DB6539"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Independent Engineers</w:t>
      </w:r>
    </w:p>
    <w:p w14:paraId="3CC70E6E"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Technical Advisors</w:t>
      </w:r>
    </w:p>
    <w:p w14:paraId="3B8159D1"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Technical Consultants</w:t>
      </w:r>
    </w:p>
    <w:p w14:paraId="6C5F882E"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Project Developers</w:t>
      </w:r>
    </w:p>
    <w:p w14:paraId="27F84413"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Project Owners</w:t>
      </w:r>
    </w:p>
    <w:p w14:paraId="7A584E03"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Asset Managers</w:t>
      </w:r>
    </w:p>
    <w:p w14:paraId="28B5C360"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Infrastructure Funds</w:t>
      </w:r>
    </w:p>
    <w:p w14:paraId="6014FE22"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Private Equity Funds</w:t>
      </w:r>
    </w:p>
    <w:p w14:paraId="20664A67"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Institutional Investors</w:t>
      </w:r>
    </w:p>
    <w:p w14:paraId="0F41020D"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Lenders</w:t>
      </w:r>
    </w:p>
    <w:p w14:paraId="4BF85BC7"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Banks</w:t>
      </w:r>
    </w:p>
    <w:p w14:paraId="11E5BDD5"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OEMs</w:t>
      </w:r>
    </w:p>
    <w:p w14:paraId="35B0545E"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EPC Contractors</w:t>
      </w:r>
    </w:p>
    <w:p w14:paraId="48A178A2"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O&amp;M Contractors</w:t>
      </w:r>
    </w:p>
    <w:p w14:paraId="759DBA90"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SCADA Providers</w:t>
      </w:r>
    </w:p>
    <w:p w14:paraId="3F0B0CBD"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Environmental Consultants</w:t>
      </w:r>
    </w:p>
    <w:p w14:paraId="25F49431"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Legal Advisors</w:t>
      </w:r>
    </w:p>
    <w:p w14:paraId="32E5D400"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Financial Advisors</w:t>
      </w:r>
    </w:p>
    <w:p w14:paraId="3602C051"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Government Authorities</w:t>
      </w:r>
    </w:p>
    <w:p w14:paraId="2298C5BC"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Regulatory Authorities</w:t>
      </w:r>
    </w:p>
    <w:p w14:paraId="59E67CC3" w14:textId="77777777" w:rsidR="00D66FD8" w:rsidRPr="00D66FD8" w:rsidRDefault="00D66FD8" w:rsidP="00D66FD8">
      <w:pPr>
        <w:jc w:val="both"/>
        <w:rPr>
          <w:rFonts w:ascii="Times New Roman" w:hAnsi="Times New Roman" w:cs="Times New Roman"/>
          <w:color w:val="156082" w:themeColor="accent1"/>
        </w:rPr>
      </w:pPr>
      <w:r w:rsidRPr="00D66FD8">
        <w:rPr>
          <w:rFonts w:ascii="Times New Roman" w:hAnsi="Times New Roman" w:cs="Times New Roman"/>
          <w:color w:val="156082" w:themeColor="accent1"/>
        </w:rPr>
        <w:t>Strategic Partners</w:t>
      </w:r>
    </w:p>
    <w:p w14:paraId="64451125" w14:textId="77777777" w:rsidR="00D66FD8" w:rsidRPr="00D66FD8" w:rsidRDefault="00D66FD8" w:rsidP="00D66FD8">
      <w:pPr>
        <w:jc w:val="both"/>
        <w:rPr>
          <w:rFonts w:ascii="Times New Roman" w:hAnsi="Times New Roman" w:cs="Times New Roman"/>
          <w:color w:val="156082" w:themeColor="accent1"/>
        </w:rPr>
      </w:pPr>
    </w:p>
    <w:sectPr w:rsidR="00D66FD8" w:rsidRPr="00D66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0E1"/>
    <w:multiLevelType w:val="multilevel"/>
    <w:tmpl w:val="67F236E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FE25927"/>
    <w:multiLevelType w:val="multilevel"/>
    <w:tmpl w:val="DD84A43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47C3CC5"/>
    <w:multiLevelType w:val="multilevel"/>
    <w:tmpl w:val="0D14288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637021B"/>
    <w:multiLevelType w:val="multilevel"/>
    <w:tmpl w:val="E3D0381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67527D6"/>
    <w:multiLevelType w:val="multilevel"/>
    <w:tmpl w:val="D1342F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C0F1DB8"/>
    <w:multiLevelType w:val="multilevel"/>
    <w:tmpl w:val="A5D6938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44630640">
    <w:abstractNumId w:val="4"/>
  </w:num>
  <w:num w:numId="2" w16cid:durableId="1615359646">
    <w:abstractNumId w:val="2"/>
  </w:num>
  <w:num w:numId="3" w16cid:durableId="595789464">
    <w:abstractNumId w:val="5"/>
  </w:num>
  <w:num w:numId="4" w16cid:durableId="235286557">
    <w:abstractNumId w:val="1"/>
  </w:num>
  <w:num w:numId="5" w16cid:durableId="1950236847">
    <w:abstractNumId w:val="0"/>
  </w:num>
  <w:num w:numId="6" w16cid:durableId="1168407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FD8"/>
    <w:rsid w:val="000A7ED5"/>
    <w:rsid w:val="00D66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EF56"/>
  <w15:chartTrackingRefBased/>
  <w15:docId w15:val="{43862D40-4D20-4ACA-B0E7-9D85A4E6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FD8"/>
    <w:rPr>
      <w:rFonts w:eastAsiaTheme="majorEastAsia" w:cstheme="majorBidi"/>
      <w:color w:val="272727" w:themeColor="text1" w:themeTint="D8"/>
    </w:rPr>
  </w:style>
  <w:style w:type="paragraph" w:styleId="Title">
    <w:name w:val="Title"/>
    <w:basedOn w:val="Normal"/>
    <w:next w:val="Normal"/>
    <w:link w:val="TitleChar"/>
    <w:uiPriority w:val="10"/>
    <w:qFormat/>
    <w:rsid w:val="00D66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FD8"/>
    <w:pPr>
      <w:spacing w:before="160"/>
      <w:jc w:val="center"/>
    </w:pPr>
    <w:rPr>
      <w:i/>
      <w:iCs/>
      <w:color w:val="404040" w:themeColor="text1" w:themeTint="BF"/>
    </w:rPr>
  </w:style>
  <w:style w:type="character" w:customStyle="1" w:styleId="QuoteChar">
    <w:name w:val="Quote Char"/>
    <w:basedOn w:val="DefaultParagraphFont"/>
    <w:link w:val="Quote"/>
    <w:uiPriority w:val="29"/>
    <w:rsid w:val="00D66FD8"/>
    <w:rPr>
      <w:i/>
      <w:iCs/>
      <w:color w:val="404040" w:themeColor="text1" w:themeTint="BF"/>
    </w:rPr>
  </w:style>
  <w:style w:type="paragraph" w:styleId="ListParagraph">
    <w:name w:val="List Paragraph"/>
    <w:basedOn w:val="Normal"/>
    <w:uiPriority w:val="34"/>
    <w:qFormat/>
    <w:rsid w:val="00D66FD8"/>
    <w:pPr>
      <w:ind w:left="720"/>
      <w:contextualSpacing/>
    </w:pPr>
  </w:style>
  <w:style w:type="character" w:styleId="IntenseEmphasis">
    <w:name w:val="Intense Emphasis"/>
    <w:basedOn w:val="DefaultParagraphFont"/>
    <w:uiPriority w:val="21"/>
    <w:qFormat/>
    <w:rsid w:val="00D66FD8"/>
    <w:rPr>
      <w:i/>
      <w:iCs/>
      <w:color w:val="0F4761" w:themeColor="accent1" w:themeShade="BF"/>
    </w:rPr>
  </w:style>
  <w:style w:type="paragraph" w:styleId="IntenseQuote">
    <w:name w:val="Intense Quote"/>
    <w:basedOn w:val="Normal"/>
    <w:next w:val="Normal"/>
    <w:link w:val="IntenseQuoteChar"/>
    <w:uiPriority w:val="30"/>
    <w:qFormat/>
    <w:rsid w:val="00D6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FD8"/>
    <w:rPr>
      <w:i/>
      <w:iCs/>
      <w:color w:val="0F4761" w:themeColor="accent1" w:themeShade="BF"/>
    </w:rPr>
  </w:style>
  <w:style w:type="character" w:styleId="IntenseReference">
    <w:name w:val="Intense Reference"/>
    <w:basedOn w:val="DefaultParagraphFont"/>
    <w:uiPriority w:val="32"/>
    <w:qFormat/>
    <w:rsid w:val="00D66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2026-06-10T17:23:00Z</dcterms:created>
  <dcterms:modified xsi:type="dcterms:W3CDTF">2026-06-10T17:25:00Z</dcterms:modified>
</cp:coreProperties>
</file>