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B8B6" w14:textId="77777777" w:rsidR="00A50A36" w:rsidRPr="00A50A36" w:rsidRDefault="00A50A36" w:rsidP="00A50A36">
      <w:pPr>
        <w:jc w:val="center"/>
        <w:rPr>
          <w:rFonts w:ascii="Times New Roman" w:hAnsi="Times New Roman" w:cs="Times New Roman"/>
          <w:b/>
          <w:bCs/>
          <w:color w:val="156082" w:themeColor="accent1"/>
          <w:u w:val="single"/>
        </w:rPr>
      </w:pPr>
      <w:r w:rsidRPr="00A50A36">
        <w:rPr>
          <w:rFonts w:ascii="Times New Roman" w:hAnsi="Times New Roman" w:cs="Times New Roman"/>
          <w:b/>
          <w:bCs/>
          <w:color w:val="156082" w:themeColor="accent1"/>
          <w:u w:val="single"/>
        </w:rPr>
        <w:t>RE-38 – FINANCIAL DUE DILIGENCE DISCUSSIONS</w:t>
      </w:r>
    </w:p>
    <w:p w14:paraId="58161C6F" w14:textId="1AEB03E2"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This pack is designed for investors, lenders, infrastructure funds, private equity funds, project developers, project owners, financial advisors, auditors, and renewable energy asset managers.</w:t>
      </w:r>
    </w:p>
    <w:p w14:paraId="634DBBDE"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A. PURPOSE DEFINITION</w:t>
      </w:r>
    </w:p>
    <w:p w14:paraId="36A16118" w14:textId="454767D3"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"Purpose" means the evaluation, review, assessment, investigation, verification, validation, audit, financial due diligence, financial risk assessment, accounting review, commercial review, financing review, investment review, acquisition review, refinancing review, or potential transaction involving renewable energy projects, renewable energy assets, project companies, portfolios, infrastructure assets, or associated businesses.</w:t>
      </w:r>
    </w:p>
    <w:p w14:paraId="6816B9BF"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B. RECITAL VARIANT</w:t>
      </w:r>
    </w:p>
    <w:p w14:paraId="4AE0C108" w14:textId="77777777" w:rsidR="00A50A36" w:rsidRPr="00A50A36" w:rsidRDefault="00A50A36" w:rsidP="00A50A36">
      <w:pPr>
        <w:jc w:val="both"/>
        <w:rPr>
          <w:rFonts w:ascii="Times New Roman" w:hAnsi="Times New Roman" w:cs="Times New Roman"/>
          <w:color w:val="156082" w:themeColor="accent1"/>
        </w:rPr>
      </w:pPr>
      <w:proofErr w:type="gramStart"/>
      <w:r w:rsidRPr="00A50A36">
        <w:rPr>
          <w:rFonts w:ascii="Times New Roman" w:hAnsi="Times New Roman" w:cs="Times New Roman"/>
          <w:color w:val="156082" w:themeColor="accent1"/>
        </w:rPr>
        <w:t>WHEREAS,</w:t>
      </w:r>
      <w:proofErr w:type="gramEnd"/>
      <w:r w:rsidRPr="00A50A36">
        <w:rPr>
          <w:rFonts w:ascii="Times New Roman" w:hAnsi="Times New Roman" w:cs="Times New Roman"/>
          <w:color w:val="156082" w:themeColor="accent1"/>
        </w:rPr>
        <w:t xml:space="preserve"> the Parties desire to evaluate and conduct financial due diligence in relation to one or more renewable energy projects, renewable energy assets, project companies, infrastructure assets, financing opportunities, acquisition opportunities, investment opportunities, refinancing opportunities, or related commercial transactions;</w:t>
      </w:r>
    </w:p>
    <w:p w14:paraId="2B5A3848"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WHEREAS, in connection with such evaluations, financial reviews, accounting reviews, investigations, audits, and transaction discussions, the Parties may disclose and exchange confidential commercial, financial, operational, accounting, project-related, and proprietary information;</w:t>
      </w:r>
    </w:p>
    <w:p w14:paraId="624E95A0" w14:textId="0AFB35E3" w:rsidR="00A50A36" w:rsidRPr="00A50A36" w:rsidRDefault="00A50A36" w:rsidP="00A50A36">
      <w:pPr>
        <w:jc w:val="both"/>
        <w:rPr>
          <w:rFonts w:ascii="Times New Roman" w:hAnsi="Times New Roman" w:cs="Times New Roman"/>
          <w:color w:val="156082" w:themeColor="accent1"/>
        </w:rPr>
      </w:pPr>
      <w:proofErr w:type="gramStart"/>
      <w:r w:rsidRPr="00A50A36">
        <w:rPr>
          <w:rFonts w:ascii="Times New Roman" w:hAnsi="Times New Roman" w:cs="Times New Roman"/>
          <w:color w:val="156082" w:themeColor="accent1"/>
        </w:rPr>
        <w:t>WHEREAS,</w:t>
      </w:r>
      <w:proofErr w:type="gramEnd"/>
      <w:r w:rsidRPr="00A50A3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7BCF0BAA"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C. ADDITIONAL DEFINITIONS</w:t>
      </w:r>
    </w:p>
    <w:p w14:paraId="50FF7237"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1. Financial Due Diligence</w:t>
      </w:r>
    </w:p>
    <w:p w14:paraId="72CD92C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Due Diligence" means any accounting review, financial assessment, financial audit, commercial review, financial investigation, cash flow review, valuation assessment, debt review, working capital assessment, or financial risk evaluation conducted in connection with the Purpose.</w:t>
      </w:r>
    </w:p>
    <w:p w14:paraId="5383C9BB"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2. Financial Information</w:t>
      </w:r>
    </w:p>
    <w:p w14:paraId="01DF000D"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Information" means information relating to revenues, expenses, profitability, cash flows, debt obligations, working capital, financial performance, accounting records, budgets, forecasts, and financial projections.</w:t>
      </w:r>
    </w:p>
    <w:p w14:paraId="6311A286"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3. Financial Model</w:t>
      </w:r>
    </w:p>
    <w:p w14:paraId="3694EA8A"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Model" means any financial projection, valuation model, cash flow model, debt service model, revenue model, investment model, sensitivity analysis, or financial forecasting tool prepared in connection with the Purpose.</w:t>
      </w:r>
    </w:p>
    <w:p w14:paraId="09F68448"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4. Financial Risk Assessment</w:t>
      </w:r>
    </w:p>
    <w:p w14:paraId="513D70F5"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lastRenderedPageBreak/>
        <w:t>"Financial Risk Assessment" means any assessment relating to revenue risks, debt risks, liquidity risks, accounting risks, tax risks, refinancing risks, commercial risks, or transaction risks.</w:t>
      </w:r>
    </w:p>
    <w:p w14:paraId="3D2346B0"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5. Accounting Information</w:t>
      </w:r>
    </w:p>
    <w:p w14:paraId="0D5BA60E"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"Accounting Information" means financial statements, management accounts, ledgers, accounting records, accounting policies, accounting estimates, audit reports, and accounting analyses.</w:t>
      </w:r>
    </w:p>
    <w:p w14:paraId="0FFE31F1"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6. Financial Due Diligence Documentation</w:t>
      </w:r>
    </w:p>
    <w:p w14:paraId="0534C5D4" w14:textId="0A29ED4E"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Due Diligence Documentation" means financial reports, audit reports, financial assessments, valuation reports, accounting reviews, commercial reviews, financial models, and related documentation.</w:t>
      </w:r>
    </w:p>
    <w:p w14:paraId="5495FFAD"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D. CONFIDENTIAL INFORMATION EXPANSION</w:t>
      </w:r>
    </w:p>
    <w:p w14:paraId="197E6964"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Without limitation, Confidential Information includes:</w:t>
      </w:r>
    </w:p>
    <w:p w14:paraId="219DD721"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(a) audited financial statements, unaudited financial statements, management accounts, balance sheets, profit and loss statements, cash flow statements, and accounting records;</w:t>
      </w:r>
    </w:p>
    <w:p w14:paraId="3F52D08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(b) project financial models, portfolio financial models, valuation models, cash flow forecasts, revenue forecasts, debt service models, and sensitivity analyses;</w:t>
      </w:r>
    </w:p>
    <w:p w14:paraId="67158B39"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(c) revenue information, tariff information, billing information, payment information, receivables information, collections information, and revenue performance assessments;</w:t>
      </w:r>
    </w:p>
    <w:p w14:paraId="408B09E9"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(d) debt information, financing arrangements, facility agreements, repayment schedules, lender correspondence, refinancing plans, and capital structure information;</w:t>
      </w:r>
    </w:p>
    <w:p w14:paraId="31080151"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(e) budgets, business plans, operating forecasts, capital expenditure forecasts, operational expenditure forecasts, and strategic financial plans;</w:t>
      </w:r>
    </w:p>
    <w:p w14:paraId="1B2759D1"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 working capital analyses, liquidity assessments, treasury information, cash management information, and financial control assessments;</w:t>
      </w:r>
    </w:p>
    <w:p w14:paraId="4FAD7526"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(g) tax assessments, tax liabilities, tax compliance information, tax audits, tax disputes, and tax planning information;</w:t>
      </w:r>
    </w:p>
    <w:p w14:paraId="4C7424EC"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(h) valuation reports, transaction pricing analyses, investment assessments, acquisition analyses, monetization assessments, and financial risk evaluations;</w:t>
      </w:r>
    </w:p>
    <w:p w14:paraId="1EB93DB7"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(i) shareholder information, dividend information, distribution policies, governance information, investor reporting materials, and board materials;</w:t>
      </w:r>
    </w:p>
    <w:p w14:paraId="4381500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(j) audit reports, auditor correspondence, internal audit findings, control assessments, compliance findings, and remediation plans;</w:t>
      </w:r>
    </w:p>
    <w:p w14:paraId="52E6E485"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(k) acquisition opportunities, financing opportunities, refinancing opportunities, portfolio opportunities, investment opportunities, and strategic transaction opportunities;</w:t>
      </w:r>
    </w:p>
    <w:p w14:paraId="7ED997F5"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lastRenderedPageBreak/>
        <w:t>(l) financial due diligence findings relating to accounting risks, liquidity risks, debt risks, tax risks, commercial risks, and transaction risks; and</w:t>
      </w:r>
    </w:p>
    <w:p w14:paraId="416A868E" w14:textId="53D4A6C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(m) any other commercial, financial, accounting-related, tax-related, investment-related, financing-related, portfolio-related, renewable-energy-related, strategic, or proprietary information disclosed in connection with the Financial Due Diligence Process.</w:t>
      </w:r>
    </w:p>
    <w:p w14:paraId="2EB8BCD8" w14:textId="77777777" w:rsidR="00A50A36" w:rsidRPr="00A50A36" w:rsidRDefault="00A50A36" w:rsidP="00A50A36">
      <w:pPr>
        <w:jc w:val="both"/>
        <w:rPr>
          <w:rFonts w:ascii="Times New Roman" w:hAnsi="Times New Roman" w:cs="Times New Roman"/>
          <w:b/>
          <w:bCs/>
          <w:color w:val="156082" w:themeColor="accent1"/>
        </w:rPr>
      </w:pPr>
      <w:r w:rsidRPr="00A50A36">
        <w:rPr>
          <w:rFonts w:ascii="Times New Roman" w:hAnsi="Times New Roman" w:cs="Times New Roman"/>
          <w:b/>
          <w:bCs/>
          <w:color w:val="156082" w:themeColor="accent1"/>
        </w:rPr>
        <w:t>E. OPTIONAL INTRODUCED CONTACTS DATASET</w:t>
      </w:r>
    </w:p>
    <w:p w14:paraId="00317A59"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Advisors</w:t>
      </w:r>
    </w:p>
    <w:p w14:paraId="052F4D93"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Investment Bankers</w:t>
      </w:r>
    </w:p>
    <w:p w14:paraId="02BFBE73"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Infrastructure Funds</w:t>
      </w:r>
    </w:p>
    <w:p w14:paraId="10F9EC8D"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Private Equity Funds</w:t>
      </w:r>
    </w:p>
    <w:p w14:paraId="5EF4955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Institutional Investors</w:t>
      </w:r>
    </w:p>
    <w:p w14:paraId="681101BC"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Project Developers</w:t>
      </w:r>
    </w:p>
    <w:p w14:paraId="6F7C7198"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Project Owners</w:t>
      </w:r>
    </w:p>
    <w:p w14:paraId="141ECE6E"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Asset Managers</w:t>
      </w:r>
    </w:p>
    <w:p w14:paraId="7CE20F53"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Auditors</w:t>
      </w:r>
    </w:p>
    <w:p w14:paraId="0772DA4B"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Accounting Firms</w:t>
      </w:r>
    </w:p>
    <w:p w14:paraId="5C2D1B87"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Tax Advisors</w:t>
      </w:r>
    </w:p>
    <w:p w14:paraId="4985F14B"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Lenders</w:t>
      </w:r>
    </w:p>
    <w:p w14:paraId="3286AFA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Banks</w:t>
      </w:r>
    </w:p>
    <w:p w14:paraId="740C5DBF"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Credit Rating Agencies</w:t>
      </w:r>
    </w:p>
    <w:p w14:paraId="19755350"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Financial Consultants</w:t>
      </w:r>
    </w:p>
    <w:p w14:paraId="4509DF55"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Legal Advisors</w:t>
      </w:r>
    </w:p>
    <w:p w14:paraId="26C98D5B"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Independent Engineers</w:t>
      </w:r>
    </w:p>
    <w:p w14:paraId="1D40AEDB"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Government Authorities</w:t>
      </w:r>
    </w:p>
    <w:p w14:paraId="5580D662"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Regulatory Authorities</w:t>
      </w:r>
    </w:p>
    <w:p w14:paraId="4AAD4ABD" w14:textId="77777777" w:rsidR="00A50A36" w:rsidRPr="00A50A36" w:rsidRDefault="00A50A36" w:rsidP="00A50A36">
      <w:pPr>
        <w:jc w:val="both"/>
        <w:rPr>
          <w:rFonts w:ascii="Times New Roman" w:hAnsi="Times New Roman" w:cs="Times New Roman"/>
          <w:color w:val="156082" w:themeColor="accent1"/>
        </w:rPr>
      </w:pPr>
      <w:r w:rsidRPr="00A50A36">
        <w:rPr>
          <w:rFonts w:ascii="Times New Roman" w:hAnsi="Times New Roman" w:cs="Times New Roman"/>
          <w:color w:val="156082" w:themeColor="accent1"/>
        </w:rPr>
        <w:t>Strategic Partners</w:t>
      </w:r>
    </w:p>
    <w:p w14:paraId="515A875D" w14:textId="77777777" w:rsidR="00A50A36" w:rsidRPr="00A50A36" w:rsidRDefault="00A50A36" w:rsidP="00A50A36">
      <w:pPr>
        <w:jc w:val="both"/>
        <w:rPr>
          <w:rFonts w:ascii="Times New Roman" w:hAnsi="Times New Roman" w:cs="Times New Roman"/>
          <w:color w:val="156082" w:themeColor="accent1"/>
        </w:rPr>
      </w:pPr>
    </w:p>
    <w:sectPr w:rsidR="00A50A36" w:rsidRPr="00A50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36"/>
    <w:rsid w:val="000A7ED5"/>
    <w:rsid w:val="00A50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D69D"/>
  <w15:chartTrackingRefBased/>
  <w15:docId w15:val="{C1B9C725-8F19-48BB-9162-8399A52E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A36"/>
    <w:rPr>
      <w:rFonts w:eastAsiaTheme="majorEastAsia" w:cstheme="majorBidi"/>
      <w:color w:val="272727" w:themeColor="text1" w:themeTint="D8"/>
    </w:rPr>
  </w:style>
  <w:style w:type="paragraph" w:styleId="Title">
    <w:name w:val="Title"/>
    <w:basedOn w:val="Normal"/>
    <w:next w:val="Normal"/>
    <w:link w:val="TitleChar"/>
    <w:uiPriority w:val="10"/>
    <w:qFormat/>
    <w:rsid w:val="00A5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A36"/>
    <w:pPr>
      <w:spacing w:before="160"/>
      <w:jc w:val="center"/>
    </w:pPr>
    <w:rPr>
      <w:i/>
      <w:iCs/>
      <w:color w:val="404040" w:themeColor="text1" w:themeTint="BF"/>
    </w:rPr>
  </w:style>
  <w:style w:type="character" w:customStyle="1" w:styleId="QuoteChar">
    <w:name w:val="Quote Char"/>
    <w:basedOn w:val="DefaultParagraphFont"/>
    <w:link w:val="Quote"/>
    <w:uiPriority w:val="29"/>
    <w:rsid w:val="00A50A36"/>
    <w:rPr>
      <w:i/>
      <w:iCs/>
      <w:color w:val="404040" w:themeColor="text1" w:themeTint="BF"/>
    </w:rPr>
  </w:style>
  <w:style w:type="paragraph" w:styleId="ListParagraph">
    <w:name w:val="List Paragraph"/>
    <w:basedOn w:val="Normal"/>
    <w:uiPriority w:val="34"/>
    <w:qFormat/>
    <w:rsid w:val="00A50A36"/>
    <w:pPr>
      <w:ind w:left="720"/>
      <w:contextualSpacing/>
    </w:pPr>
  </w:style>
  <w:style w:type="character" w:styleId="IntenseEmphasis">
    <w:name w:val="Intense Emphasis"/>
    <w:basedOn w:val="DefaultParagraphFont"/>
    <w:uiPriority w:val="21"/>
    <w:qFormat/>
    <w:rsid w:val="00A50A36"/>
    <w:rPr>
      <w:i/>
      <w:iCs/>
      <w:color w:val="0F4761" w:themeColor="accent1" w:themeShade="BF"/>
    </w:rPr>
  </w:style>
  <w:style w:type="paragraph" w:styleId="IntenseQuote">
    <w:name w:val="Intense Quote"/>
    <w:basedOn w:val="Normal"/>
    <w:next w:val="Normal"/>
    <w:link w:val="IntenseQuoteChar"/>
    <w:uiPriority w:val="30"/>
    <w:qFormat/>
    <w:rsid w:val="00A50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A36"/>
    <w:rPr>
      <w:i/>
      <w:iCs/>
      <w:color w:val="0F4761" w:themeColor="accent1" w:themeShade="BF"/>
    </w:rPr>
  </w:style>
  <w:style w:type="character" w:styleId="IntenseReference">
    <w:name w:val="Intense Reference"/>
    <w:basedOn w:val="DefaultParagraphFont"/>
    <w:uiPriority w:val="32"/>
    <w:qFormat/>
    <w:rsid w:val="00A50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2026-06-10T17:19:00Z</dcterms:created>
  <dcterms:modified xsi:type="dcterms:W3CDTF">2026-06-10T17:28:00Z</dcterms:modified>
</cp:coreProperties>
</file>