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AE64" w14:textId="77777777" w:rsidR="008E382F" w:rsidRPr="008E382F" w:rsidRDefault="008E382F" w:rsidP="008E382F">
      <w:pPr>
        <w:jc w:val="center"/>
        <w:rPr>
          <w:rFonts w:ascii="Times New Roman" w:hAnsi="Times New Roman" w:cs="Times New Roman"/>
          <w:b/>
          <w:bCs/>
          <w:color w:val="156082" w:themeColor="accent1"/>
          <w:u w:val="single"/>
        </w:rPr>
      </w:pPr>
      <w:r w:rsidRPr="008E382F">
        <w:rPr>
          <w:rFonts w:ascii="Times New Roman" w:hAnsi="Times New Roman" w:cs="Times New Roman"/>
          <w:b/>
          <w:bCs/>
          <w:color w:val="156082" w:themeColor="accent1"/>
          <w:u w:val="single"/>
        </w:rPr>
        <w:t>RE-41 – RENEWABLE ENERGY CERTIFICATE (REC) DISCUSSIONS</w:t>
      </w:r>
    </w:p>
    <w:p w14:paraId="0A671F0D" w14:textId="77777777" w:rsidR="008E382F" w:rsidRPr="008E382F" w:rsidRDefault="008E382F" w:rsidP="008E382F">
      <w:pPr>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A. PURPOSE DEFINITION</w:t>
      </w:r>
    </w:p>
    <w:p w14:paraId="0D1E1616" w14:textId="66C8E2A8"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"Purpose" means the evaluation, discussion, accreditation, registration, issuance, acquisition, purchase, sale, transfer, retirement, financing, commercialization, monetization, management, or potential establishment of Renewable Energy Certificate arrangements, renewable attribute transactions, compliance mechanisms, sustainability programs, or related commercial activities.</w:t>
      </w:r>
    </w:p>
    <w:p w14:paraId="56420389" w14:textId="77777777" w:rsidR="008E382F" w:rsidRPr="008E382F" w:rsidRDefault="008E382F" w:rsidP="008E382F">
      <w:pPr>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B. RECITAL VARIANT</w:t>
      </w:r>
    </w:p>
    <w:p w14:paraId="3D8E8BCA" w14:textId="77777777" w:rsidR="008E382F" w:rsidRPr="008E382F" w:rsidRDefault="008E382F" w:rsidP="008E382F">
      <w:pPr>
        <w:jc w:val="both"/>
        <w:rPr>
          <w:rFonts w:ascii="Times New Roman" w:hAnsi="Times New Roman" w:cs="Times New Roman"/>
          <w:color w:val="156082" w:themeColor="accent1"/>
        </w:rPr>
      </w:pPr>
      <w:proofErr w:type="gramStart"/>
      <w:r w:rsidRPr="008E382F">
        <w:rPr>
          <w:rFonts w:ascii="Times New Roman" w:hAnsi="Times New Roman" w:cs="Times New Roman"/>
          <w:color w:val="156082" w:themeColor="accent1"/>
        </w:rPr>
        <w:t>WHEREAS,</w:t>
      </w:r>
      <w:proofErr w:type="gramEnd"/>
      <w:r w:rsidRPr="008E382F">
        <w:rPr>
          <w:rFonts w:ascii="Times New Roman" w:hAnsi="Times New Roman" w:cs="Times New Roman"/>
          <w:color w:val="156082" w:themeColor="accent1"/>
        </w:rPr>
        <w:t xml:space="preserve"> the Parties desire to evaluate and discuss one or more Renewable Energy Certificate opportunities, renewable attribute arrangements, sustainability initiatives, compliance mechanisms, environmental attribute transactions, or related commercial relationships;</w:t>
      </w:r>
    </w:p>
    <w:p w14:paraId="2095A93D"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WHEREAS, in connection with such discussions, evaluations, accreditation activities, registration activities, commercial negotiations, regulatory assessments, and transaction discussions, the Parties may disclose and exchange confidential commercial, financial, technical, operational, regulatory, sustainability-related, and proprietary information;</w:t>
      </w:r>
    </w:p>
    <w:p w14:paraId="5D13AA8E" w14:textId="40F3EB77" w:rsidR="008E382F" w:rsidRPr="008E382F" w:rsidRDefault="008E382F" w:rsidP="008E382F">
      <w:pPr>
        <w:jc w:val="both"/>
        <w:rPr>
          <w:rFonts w:ascii="Times New Roman" w:hAnsi="Times New Roman" w:cs="Times New Roman"/>
          <w:color w:val="156082" w:themeColor="accent1"/>
        </w:rPr>
      </w:pPr>
      <w:proofErr w:type="gramStart"/>
      <w:r w:rsidRPr="008E382F">
        <w:rPr>
          <w:rFonts w:ascii="Times New Roman" w:hAnsi="Times New Roman" w:cs="Times New Roman"/>
          <w:color w:val="156082" w:themeColor="accent1"/>
        </w:rPr>
        <w:t>WHEREAS,</w:t>
      </w:r>
      <w:proofErr w:type="gramEnd"/>
      <w:r w:rsidRPr="008E382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682E885" w14:textId="77777777" w:rsidR="008E382F" w:rsidRPr="008E382F" w:rsidRDefault="008E382F" w:rsidP="008E382F">
      <w:pPr>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C. ADDITIONAL DEFINITIONS</w:t>
      </w:r>
    </w:p>
    <w:p w14:paraId="771F1579" w14:textId="77777777" w:rsidR="008E382F" w:rsidRPr="008E382F" w:rsidRDefault="008E382F" w:rsidP="008E382F">
      <w:pPr>
        <w:numPr>
          <w:ilvl w:val="0"/>
          <w:numId w:val="1"/>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Renewable Energy Certificate</w:t>
      </w:r>
    </w:p>
    <w:p w14:paraId="7E87B704"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"Renewable Energy Certificate" or "REC" means any certificate, environmental attribute, renewable energy attribute, renewable generation instrument, green certificate, or similar instrument representing the environmental benefits associated with renewable electricity generation.</w:t>
      </w:r>
    </w:p>
    <w:p w14:paraId="37852298" w14:textId="77777777" w:rsidR="008E382F" w:rsidRPr="008E382F" w:rsidRDefault="008E382F" w:rsidP="008E382F">
      <w:pPr>
        <w:numPr>
          <w:ilvl w:val="0"/>
          <w:numId w:val="2"/>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REC Information</w:t>
      </w:r>
    </w:p>
    <w:p w14:paraId="098CEABA"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"REC Information" means information relating to REC generation, accreditation, issuance, registration, transfer, retirement, pricing, procurement, trading, and compliance activities.</w:t>
      </w:r>
    </w:p>
    <w:p w14:paraId="7E159C50" w14:textId="77777777" w:rsidR="008E382F" w:rsidRPr="008E382F" w:rsidRDefault="008E382F" w:rsidP="008E382F">
      <w:pPr>
        <w:numPr>
          <w:ilvl w:val="0"/>
          <w:numId w:val="3"/>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Renewable Attribute</w:t>
      </w:r>
    </w:p>
    <w:p w14:paraId="1E1A927D"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"Renewable Attribute" means any environmental benefit, renewable characteristic, sustainability benefit, emissions reduction attribute, renewable generation attribute, or associated environmental right arising from renewable electricity generation.</w:t>
      </w:r>
    </w:p>
    <w:p w14:paraId="7C728EC3" w14:textId="77777777" w:rsidR="008E382F" w:rsidRPr="008E382F" w:rsidRDefault="008E382F" w:rsidP="008E382F">
      <w:pPr>
        <w:numPr>
          <w:ilvl w:val="0"/>
          <w:numId w:val="4"/>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REC Transaction</w:t>
      </w:r>
    </w:p>
    <w:p w14:paraId="51DBC85F"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"REC Transaction" means any purchase, sale, transfer, assignment, retirement, exchange, monetization, financing, or commercial arrangement involving Renewable Energy Certificates.</w:t>
      </w:r>
    </w:p>
    <w:p w14:paraId="77A2D653" w14:textId="77777777" w:rsidR="008E382F" w:rsidRPr="008E382F" w:rsidRDefault="008E382F" w:rsidP="008E382F">
      <w:pPr>
        <w:numPr>
          <w:ilvl w:val="0"/>
          <w:numId w:val="5"/>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Compliance Information</w:t>
      </w:r>
    </w:p>
    <w:p w14:paraId="3D052AFC"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lastRenderedPageBreak/>
        <w:t>"Compliance Information" means information relating to renewable purchase obligations, sustainability commitments, renewable energy targets, environmental compliance obligations, and regulatory requirements.</w:t>
      </w:r>
    </w:p>
    <w:p w14:paraId="0A4ED0B4" w14:textId="77777777" w:rsidR="008E382F" w:rsidRPr="008E382F" w:rsidRDefault="008E382F" w:rsidP="008E382F">
      <w:pPr>
        <w:numPr>
          <w:ilvl w:val="0"/>
          <w:numId w:val="6"/>
        </w:numPr>
        <w:tabs>
          <w:tab w:val="clear" w:pos="360"/>
          <w:tab w:val="num" w:pos="720"/>
        </w:tabs>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REC Documentation</w:t>
      </w:r>
    </w:p>
    <w:p w14:paraId="54A1F609" w14:textId="3B288330"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"REC Documentation" means accreditation documents, registration documents, issuance records, transfer records, retirement records, trading documentation, purchase agreements, sale agreements, and related materials.</w:t>
      </w:r>
    </w:p>
    <w:p w14:paraId="646888CA" w14:textId="77777777" w:rsidR="008E382F" w:rsidRPr="008E382F" w:rsidRDefault="008E382F" w:rsidP="008E382F">
      <w:pPr>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D. CONFIDENTIAL INFORMATION EXPANSION</w:t>
      </w:r>
    </w:p>
    <w:p w14:paraId="19549F34"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Without limitation, Confidential Information includes:</w:t>
      </w:r>
    </w:p>
    <w:p w14:paraId="5E6C3DFE"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(a) REC generation opportunities, REC monetization opportunities, renewable attribute opportunities, sustainability opportunities, and environmental market opportunities;</w:t>
      </w:r>
    </w:p>
    <w:p w14:paraId="79932AA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(b) accreditation information, registration information, issuance information, eligibility assessments, qualification reviews, and compliance assessments;</w:t>
      </w:r>
    </w:p>
    <w:p w14:paraId="1DD7A89A"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(c) renewable energy generation data, metering information, generation reports, energy production reports, certification reports, and supporting documentation;</w:t>
      </w:r>
    </w:p>
    <w:p w14:paraId="756BD94F"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(d) REC pricing information, market analyses, trading strategies, commercial proposals, pricing forecasts, transaction pricing structures, and monetization assessments;</w:t>
      </w:r>
    </w:p>
    <w:p w14:paraId="457CA2D6"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(e) REC portfolios, renewable attribute portfolios, procurement strategies, retirement strategies, portfolio management activities, and sustainability programs;</w:t>
      </w:r>
    </w:p>
    <w:p w14:paraId="597FBE6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(f) renewable purchase obligation information, compliance requirements, sustainability commitments, renewable energy targets, and environmental obligations;</w:t>
      </w:r>
    </w:p>
    <w:p w14:paraId="14B7C338"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(g) trading information, market participation information, exchange participation information, transaction histories, transfer arrangements, and settlement information;</w:t>
      </w:r>
    </w:p>
    <w:p w14:paraId="68C8FA5B"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(h) registry information, accreditation procedures, issuance procedures, transfer procedures, retirement procedures, and registry communications;</w:t>
      </w:r>
    </w:p>
    <w:p w14:paraId="01396C0D"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w:t>
      </w:r>
      <w:proofErr w:type="spellStart"/>
      <w:r w:rsidRPr="008E382F">
        <w:rPr>
          <w:rFonts w:ascii="Times New Roman" w:hAnsi="Times New Roman" w:cs="Times New Roman"/>
          <w:color w:val="156082" w:themeColor="accent1"/>
        </w:rPr>
        <w:t>i</w:t>
      </w:r>
      <w:proofErr w:type="spellEnd"/>
      <w:r w:rsidRPr="008E382F">
        <w:rPr>
          <w:rFonts w:ascii="Times New Roman" w:hAnsi="Times New Roman" w:cs="Times New Roman"/>
          <w:color w:val="156082" w:themeColor="accent1"/>
        </w:rPr>
        <w:t>) sustainability reports, ESG reports, environmental disclosures, renewable energy claims, green energy reporting information, and compliance disclosures;</w:t>
      </w:r>
    </w:p>
    <w:p w14:paraId="12F2CCEC"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(j) project financial models, REC revenue forecasts, environmental attribute valuations, sustainability financing opportunities, and commercial evaluations;</w:t>
      </w:r>
    </w:p>
    <w:p w14:paraId="07AC34EF"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(k) buyer information, purchaser information, corporate sustainability information, environmental commitments, and transaction counterparty information;</w:t>
      </w:r>
    </w:p>
    <w:p w14:paraId="74776078"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(l) strategic renewable programs, sustainability initiatives, environmental market participation strategies, renewable procurement programs, and business development initiatives; and</w:t>
      </w:r>
    </w:p>
    <w:p w14:paraId="3E4B10CB" w14:textId="040E6964"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lastRenderedPageBreak/>
        <w:t>(m) any other commercial, financial, technical, operational, regulatory, sustainability-related, REC-related, renewable-attribute-related, renewable-energy-related, strategic, or proprietary information disclosed in connection with a REC Transaction.</w:t>
      </w:r>
    </w:p>
    <w:p w14:paraId="60D01FD9" w14:textId="77777777" w:rsidR="008E382F" w:rsidRPr="008E382F" w:rsidRDefault="008E382F" w:rsidP="008E382F">
      <w:pPr>
        <w:jc w:val="both"/>
        <w:rPr>
          <w:rFonts w:ascii="Times New Roman" w:hAnsi="Times New Roman" w:cs="Times New Roman"/>
          <w:b/>
          <w:bCs/>
          <w:color w:val="156082" w:themeColor="accent1"/>
        </w:rPr>
      </w:pPr>
      <w:r w:rsidRPr="008E382F">
        <w:rPr>
          <w:rFonts w:ascii="Times New Roman" w:hAnsi="Times New Roman" w:cs="Times New Roman"/>
          <w:b/>
          <w:bCs/>
          <w:color w:val="156082" w:themeColor="accent1"/>
        </w:rPr>
        <w:t>E. OPTIONAL INTRODUCED CONTACTS DATASET</w:t>
      </w:r>
    </w:p>
    <w:p w14:paraId="2B62BB7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Renewable Energy Generators</w:t>
      </w:r>
    </w:p>
    <w:p w14:paraId="05BDE8AC"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Project Developers</w:t>
      </w:r>
    </w:p>
    <w:p w14:paraId="6193C34F"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Project Owners</w:t>
      </w:r>
    </w:p>
    <w:p w14:paraId="7CB889B5"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Corporate Buyers</w:t>
      </w:r>
    </w:p>
    <w:p w14:paraId="4E87E70E"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Obligated Entities</w:t>
      </w:r>
    </w:p>
    <w:p w14:paraId="4EB7D921"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Power Traders</w:t>
      </w:r>
    </w:p>
    <w:p w14:paraId="7E11A70B"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REC Traders</w:t>
      </w:r>
    </w:p>
    <w:p w14:paraId="06424BF5"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Utilities</w:t>
      </w:r>
    </w:p>
    <w:p w14:paraId="3868AC54"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DISCOMs</w:t>
      </w:r>
    </w:p>
    <w:p w14:paraId="22A7E071"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Sustainability Consultants</w:t>
      </w:r>
    </w:p>
    <w:p w14:paraId="1D5A254C"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ESG Consultants</w:t>
      </w:r>
    </w:p>
    <w:p w14:paraId="26558AB6"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Registry Operators</w:t>
      </w:r>
    </w:p>
    <w:p w14:paraId="3AB7212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Accreditation Agencies</w:t>
      </w:r>
    </w:p>
    <w:p w14:paraId="1E7F1E5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Verification Bodies</w:t>
      </w:r>
    </w:p>
    <w:p w14:paraId="0DBB0B21"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Environmental Consultants</w:t>
      </w:r>
    </w:p>
    <w:p w14:paraId="5BA6B492"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Investors</w:t>
      </w:r>
    </w:p>
    <w:p w14:paraId="256A3F19"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Financial Advisors</w:t>
      </w:r>
    </w:p>
    <w:p w14:paraId="780377CC"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Legal Advisors</w:t>
      </w:r>
    </w:p>
    <w:p w14:paraId="3817C585"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Government Authorities</w:t>
      </w:r>
    </w:p>
    <w:p w14:paraId="03015543"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Regulatory Authorities</w:t>
      </w:r>
    </w:p>
    <w:p w14:paraId="6530ABED" w14:textId="77777777" w:rsidR="008E382F" w:rsidRPr="008E382F" w:rsidRDefault="008E382F" w:rsidP="008E382F">
      <w:pPr>
        <w:jc w:val="both"/>
        <w:rPr>
          <w:rFonts w:ascii="Times New Roman" w:hAnsi="Times New Roman" w:cs="Times New Roman"/>
          <w:color w:val="156082" w:themeColor="accent1"/>
        </w:rPr>
      </w:pPr>
      <w:r w:rsidRPr="008E382F">
        <w:rPr>
          <w:rFonts w:ascii="Times New Roman" w:hAnsi="Times New Roman" w:cs="Times New Roman"/>
          <w:color w:val="156082" w:themeColor="accent1"/>
        </w:rPr>
        <w:t>Strategic Partners</w:t>
      </w:r>
    </w:p>
    <w:p w14:paraId="27D1F2E6" w14:textId="77777777" w:rsidR="008E382F" w:rsidRPr="008E382F" w:rsidRDefault="008E382F" w:rsidP="008E382F">
      <w:pPr>
        <w:jc w:val="both"/>
        <w:rPr>
          <w:rFonts w:ascii="Times New Roman" w:hAnsi="Times New Roman" w:cs="Times New Roman"/>
          <w:color w:val="156082" w:themeColor="accent1"/>
        </w:rPr>
      </w:pPr>
    </w:p>
    <w:sectPr w:rsidR="008E382F" w:rsidRPr="008E3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E6E"/>
    <w:multiLevelType w:val="multilevel"/>
    <w:tmpl w:val="D692611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4F61230"/>
    <w:multiLevelType w:val="multilevel"/>
    <w:tmpl w:val="BE762F8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F8506B8"/>
    <w:multiLevelType w:val="multilevel"/>
    <w:tmpl w:val="D3CCE59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54226F5"/>
    <w:multiLevelType w:val="multilevel"/>
    <w:tmpl w:val="61B02A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73E29B2"/>
    <w:multiLevelType w:val="multilevel"/>
    <w:tmpl w:val="8228B08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9155D89"/>
    <w:multiLevelType w:val="multilevel"/>
    <w:tmpl w:val="22346CB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58339011">
    <w:abstractNumId w:val="3"/>
  </w:num>
  <w:num w:numId="2" w16cid:durableId="2001538135">
    <w:abstractNumId w:val="2"/>
  </w:num>
  <w:num w:numId="3" w16cid:durableId="2086225847">
    <w:abstractNumId w:val="0"/>
  </w:num>
  <w:num w:numId="4" w16cid:durableId="1426195024">
    <w:abstractNumId w:val="5"/>
  </w:num>
  <w:num w:numId="5" w16cid:durableId="423645457">
    <w:abstractNumId w:val="4"/>
  </w:num>
  <w:num w:numId="6" w16cid:durableId="1160581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2F"/>
    <w:rsid w:val="000A7ED5"/>
    <w:rsid w:val="008E3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BDF9A"/>
  <w15:chartTrackingRefBased/>
  <w15:docId w15:val="{F4728940-929A-4952-8283-A445E76D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2F"/>
    <w:rPr>
      <w:rFonts w:eastAsiaTheme="majorEastAsia" w:cstheme="majorBidi"/>
      <w:color w:val="272727" w:themeColor="text1" w:themeTint="D8"/>
    </w:rPr>
  </w:style>
  <w:style w:type="paragraph" w:styleId="Title">
    <w:name w:val="Title"/>
    <w:basedOn w:val="Normal"/>
    <w:next w:val="Normal"/>
    <w:link w:val="TitleChar"/>
    <w:uiPriority w:val="10"/>
    <w:qFormat/>
    <w:rsid w:val="008E3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2F"/>
    <w:pPr>
      <w:spacing w:before="160"/>
      <w:jc w:val="center"/>
    </w:pPr>
    <w:rPr>
      <w:i/>
      <w:iCs/>
      <w:color w:val="404040" w:themeColor="text1" w:themeTint="BF"/>
    </w:rPr>
  </w:style>
  <w:style w:type="character" w:customStyle="1" w:styleId="QuoteChar">
    <w:name w:val="Quote Char"/>
    <w:basedOn w:val="DefaultParagraphFont"/>
    <w:link w:val="Quote"/>
    <w:uiPriority w:val="29"/>
    <w:rsid w:val="008E382F"/>
    <w:rPr>
      <w:i/>
      <w:iCs/>
      <w:color w:val="404040" w:themeColor="text1" w:themeTint="BF"/>
    </w:rPr>
  </w:style>
  <w:style w:type="paragraph" w:styleId="ListParagraph">
    <w:name w:val="List Paragraph"/>
    <w:basedOn w:val="Normal"/>
    <w:uiPriority w:val="34"/>
    <w:qFormat/>
    <w:rsid w:val="008E382F"/>
    <w:pPr>
      <w:ind w:left="720"/>
      <w:contextualSpacing/>
    </w:pPr>
  </w:style>
  <w:style w:type="character" w:styleId="IntenseEmphasis">
    <w:name w:val="Intense Emphasis"/>
    <w:basedOn w:val="DefaultParagraphFont"/>
    <w:uiPriority w:val="21"/>
    <w:qFormat/>
    <w:rsid w:val="008E382F"/>
    <w:rPr>
      <w:i/>
      <w:iCs/>
      <w:color w:val="0F4761" w:themeColor="accent1" w:themeShade="BF"/>
    </w:rPr>
  </w:style>
  <w:style w:type="paragraph" w:styleId="IntenseQuote">
    <w:name w:val="Intense Quote"/>
    <w:basedOn w:val="Normal"/>
    <w:next w:val="Normal"/>
    <w:link w:val="IntenseQuoteChar"/>
    <w:uiPriority w:val="30"/>
    <w:qFormat/>
    <w:rsid w:val="008E3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82F"/>
    <w:rPr>
      <w:i/>
      <w:iCs/>
      <w:color w:val="0F4761" w:themeColor="accent1" w:themeShade="BF"/>
    </w:rPr>
  </w:style>
  <w:style w:type="character" w:styleId="IntenseReference">
    <w:name w:val="Intense Reference"/>
    <w:basedOn w:val="DefaultParagraphFont"/>
    <w:uiPriority w:val="32"/>
    <w:qFormat/>
    <w:rsid w:val="008E38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2026-06-10T17:33:00Z</dcterms:created>
  <dcterms:modified xsi:type="dcterms:W3CDTF">2026-06-10T17:34:00Z</dcterms:modified>
</cp:coreProperties>
</file>