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081B" w14:textId="77777777" w:rsidR="00C62A66" w:rsidRPr="00C62A66" w:rsidRDefault="00C62A66" w:rsidP="00C62A66">
      <w:pPr>
        <w:jc w:val="center"/>
        <w:rPr>
          <w:rFonts w:ascii="Times New Roman" w:hAnsi="Times New Roman" w:cs="Times New Roman"/>
          <w:b/>
          <w:bCs/>
          <w:color w:val="156082" w:themeColor="accent1"/>
          <w:u w:val="single"/>
        </w:rPr>
      </w:pPr>
      <w:r w:rsidRPr="00C62A66">
        <w:rPr>
          <w:rFonts w:ascii="Times New Roman" w:hAnsi="Times New Roman" w:cs="Times New Roman"/>
          <w:b/>
          <w:bCs/>
          <w:color w:val="156082" w:themeColor="accent1"/>
          <w:u w:val="single"/>
        </w:rPr>
        <w:t>RE-43 – DECARBONIZATION DISCUSSIONS</w:t>
      </w:r>
    </w:p>
    <w:p w14:paraId="7995B990" w14:textId="77777777" w:rsidR="00C62A66" w:rsidRPr="00C62A66" w:rsidRDefault="00C62A66" w:rsidP="00C62A66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62A66">
        <w:rPr>
          <w:rFonts w:ascii="Times New Roman" w:hAnsi="Times New Roman" w:cs="Times New Roman"/>
          <w:b/>
          <w:bCs/>
          <w:color w:val="156082" w:themeColor="accent1"/>
        </w:rPr>
        <w:t>A. PURPOSE DEFINITION</w:t>
      </w:r>
    </w:p>
    <w:p w14:paraId="2069B7AA" w14:textId="1F6CA6CE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"Purpose" means the evaluation, discussion, planning, assessment, implementation, financing, management, monitoring, reporting, or potential establishment of decarbonization initiatives, emissions reduction strategies, net-zero programs, climate transition plans, carbon management initiatives, sustainability programs, or related commercial and strategic arrangements.</w:t>
      </w:r>
    </w:p>
    <w:p w14:paraId="12B7B952" w14:textId="77777777" w:rsidR="00C62A66" w:rsidRPr="00C62A66" w:rsidRDefault="00C62A66" w:rsidP="00C62A66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62A66">
        <w:rPr>
          <w:rFonts w:ascii="Times New Roman" w:hAnsi="Times New Roman" w:cs="Times New Roman"/>
          <w:b/>
          <w:bCs/>
          <w:color w:val="156082" w:themeColor="accent1"/>
        </w:rPr>
        <w:t>B. RECITAL VARIANT</w:t>
      </w:r>
    </w:p>
    <w:p w14:paraId="2D4D39FC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C62A66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C62A66">
        <w:rPr>
          <w:rFonts w:ascii="Times New Roman" w:hAnsi="Times New Roman" w:cs="Times New Roman"/>
          <w:color w:val="156082" w:themeColor="accent1"/>
        </w:rPr>
        <w:t xml:space="preserve"> the Parties desire to evaluate and discuss one or more decarbonization opportunities, emissions reduction initiatives, climate transition strategies, net-zero programs, carbon management initiatives, or related commercial and strategic relationships;</w:t>
      </w:r>
    </w:p>
    <w:p w14:paraId="06B63F0F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WHEREAS, in connection with such discussions, evaluations, climate assessments, sustainability reviews, implementation planning activities, and transaction discussions, the Parties may disclose and exchange confidential commercial, financial, technical, operational, environmental, sustainability-related, and proprietary information;</w:t>
      </w:r>
    </w:p>
    <w:p w14:paraId="79B49BCF" w14:textId="31778C14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C62A66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C62A66">
        <w:rPr>
          <w:rFonts w:ascii="Times New Roman" w:hAnsi="Times New Roman" w:cs="Times New Roman"/>
          <w:color w:val="156082" w:themeColor="accent1"/>
        </w:rPr>
        <w:t xml:space="preserve"> the Parties wish to establish the terms and conditions governing the disclosure, protection, use, and handling of such Confidential Information.</w:t>
      </w:r>
    </w:p>
    <w:p w14:paraId="20CA5B39" w14:textId="77777777" w:rsidR="00C62A66" w:rsidRPr="00C62A66" w:rsidRDefault="00C62A66" w:rsidP="00C62A66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62A66">
        <w:rPr>
          <w:rFonts w:ascii="Times New Roman" w:hAnsi="Times New Roman" w:cs="Times New Roman"/>
          <w:b/>
          <w:bCs/>
          <w:color w:val="156082" w:themeColor="accent1"/>
        </w:rPr>
        <w:t>C. ADDITIONAL DEFINITIONS</w:t>
      </w:r>
    </w:p>
    <w:p w14:paraId="0E1A5979" w14:textId="77777777" w:rsidR="00C62A66" w:rsidRPr="00C62A66" w:rsidRDefault="00C62A66" w:rsidP="00C62A66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62A66">
        <w:rPr>
          <w:rFonts w:ascii="Times New Roman" w:hAnsi="Times New Roman" w:cs="Times New Roman"/>
          <w:b/>
          <w:bCs/>
          <w:color w:val="156082" w:themeColor="accent1"/>
        </w:rPr>
        <w:t>Decarbonization</w:t>
      </w:r>
    </w:p>
    <w:p w14:paraId="23E7408A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"Decarbonization" means the reduction, avoidance, mitigation, elimination, management, or offsetting of greenhouse gas emissions through operational improvements, renewable energy adoption, technology deployment, sustainability initiatives, or climate action programs.</w:t>
      </w:r>
    </w:p>
    <w:p w14:paraId="79A3AFD7" w14:textId="77777777" w:rsidR="00C62A66" w:rsidRPr="00C62A66" w:rsidRDefault="00C62A66" w:rsidP="00C62A66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62A66">
        <w:rPr>
          <w:rFonts w:ascii="Times New Roman" w:hAnsi="Times New Roman" w:cs="Times New Roman"/>
          <w:b/>
          <w:bCs/>
          <w:color w:val="156082" w:themeColor="accent1"/>
        </w:rPr>
        <w:t>Decarbonization Information</w:t>
      </w:r>
    </w:p>
    <w:p w14:paraId="179DD6C6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"Decarbonization Information" means information relating to emissions reduction strategies, climate transition plans, carbon management initiatives, sustainability targets, and decarbonization programs.</w:t>
      </w:r>
    </w:p>
    <w:p w14:paraId="1D453396" w14:textId="77777777" w:rsidR="00C62A66" w:rsidRPr="00C62A66" w:rsidRDefault="00C62A66" w:rsidP="00C62A66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62A66">
        <w:rPr>
          <w:rFonts w:ascii="Times New Roman" w:hAnsi="Times New Roman" w:cs="Times New Roman"/>
          <w:b/>
          <w:bCs/>
          <w:color w:val="156082" w:themeColor="accent1"/>
        </w:rPr>
        <w:t>Emissions Information</w:t>
      </w:r>
    </w:p>
    <w:p w14:paraId="02D8CA2D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"Emissions Information" means information relating to greenhouse gas emissions, carbon footprints, emissions inventories, emissions forecasts, emissions reductions, and emissions reporting.</w:t>
      </w:r>
    </w:p>
    <w:p w14:paraId="51D0DB2A" w14:textId="77777777" w:rsidR="00C62A66" w:rsidRPr="00C62A66" w:rsidRDefault="00C62A66" w:rsidP="00C62A66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62A66">
        <w:rPr>
          <w:rFonts w:ascii="Times New Roman" w:hAnsi="Times New Roman" w:cs="Times New Roman"/>
          <w:b/>
          <w:bCs/>
          <w:color w:val="156082" w:themeColor="accent1"/>
        </w:rPr>
        <w:t>Net-Zero Strategy</w:t>
      </w:r>
    </w:p>
    <w:p w14:paraId="5474CAA7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"Net-Zero Strategy" means any roadmap, plan, framework, program, commitment, or initiative intended to achieve net-zero greenhouse gas emissions.</w:t>
      </w:r>
    </w:p>
    <w:p w14:paraId="1F8F44D5" w14:textId="77777777" w:rsidR="00C62A66" w:rsidRPr="00C62A66" w:rsidRDefault="00C62A66" w:rsidP="00C62A66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62A66">
        <w:rPr>
          <w:rFonts w:ascii="Times New Roman" w:hAnsi="Times New Roman" w:cs="Times New Roman"/>
          <w:b/>
          <w:bCs/>
          <w:color w:val="156082" w:themeColor="accent1"/>
        </w:rPr>
        <w:t>Climate Transition Plan</w:t>
      </w:r>
    </w:p>
    <w:p w14:paraId="565062E3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lastRenderedPageBreak/>
        <w:t>"Climate Transition Plan" means a strategic plan relating to the transition from carbon-intensive operations to lower-carbon or net-zero operations.</w:t>
      </w:r>
    </w:p>
    <w:p w14:paraId="64EE918E" w14:textId="77777777" w:rsidR="00C62A66" w:rsidRPr="00C62A66" w:rsidRDefault="00C62A66" w:rsidP="00C62A66">
      <w:pPr>
        <w:numPr>
          <w:ilvl w:val="0"/>
          <w:numId w:val="6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62A66">
        <w:rPr>
          <w:rFonts w:ascii="Times New Roman" w:hAnsi="Times New Roman" w:cs="Times New Roman"/>
          <w:b/>
          <w:bCs/>
          <w:color w:val="156082" w:themeColor="accent1"/>
        </w:rPr>
        <w:t>Decarbonization Documentation</w:t>
      </w:r>
    </w:p>
    <w:p w14:paraId="16C5FD46" w14:textId="3D290332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"Decarbonization Documentation" means emissions reports, climate reports, transition plans, net-zero roadmaps, sustainability reports, implementation plans, and related documentation.</w:t>
      </w:r>
    </w:p>
    <w:p w14:paraId="44921975" w14:textId="77777777" w:rsidR="00C62A66" w:rsidRPr="00C62A66" w:rsidRDefault="00C62A66" w:rsidP="00C62A66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62A66">
        <w:rPr>
          <w:rFonts w:ascii="Times New Roman" w:hAnsi="Times New Roman" w:cs="Times New Roman"/>
          <w:b/>
          <w:bCs/>
          <w:color w:val="156082" w:themeColor="accent1"/>
        </w:rPr>
        <w:t>D. CONFIDENTIAL INFORMATION EXPANSION</w:t>
      </w:r>
    </w:p>
    <w:p w14:paraId="33E76BBB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Without limitation, Confidential Information includes:</w:t>
      </w:r>
    </w:p>
    <w:p w14:paraId="501CB0AF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(a) greenhouse gas inventories, emissions assessments, carbon footprint analyses, emissions forecasts, and emissions reduction opportunities;</w:t>
      </w:r>
    </w:p>
    <w:p w14:paraId="77B31BE9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(b) net-zero strategies, climate transition plans, decarbonization roadmaps, sustainability strategies, and climate commitments;</w:t>
      </w:r>
    </w:p>
    <w:p w14:paraId="2D42C0E4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(c) renewable energy procurement plans, energy efficiency initiatives, electrification programs, fuel-switching initiatives, and clean technology deployment plans;</w:t>
      </w:r>
    </w:p>
    <w:p w14:paraId="74EEBF6B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(d) carbon management programs, carbon reduction initiatives, carbon offset strategies, carbon credit strategies, and environmental attribute strategies;</w:t>
      </w:r>
    </w:p>
    <w:p w14:paraId="06326ED9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(e) climate risk assessments, transition risk assessments, resilience planning activities, adaptation plans, and climate scenario analyses;</w:t>
      </w:r>
    </w:p>
    <w:p w14:paraId="57D341CA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(f) sustainability reports, climate disclosures, ESG disclosures, environmental reports, and regulatory reporting information;</w:t>
      </w:r>
    </w:p>
    <w:p w14:paraId="5E8FBCBF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(g) technology assessments, clean technology evaluations, energy transition analyses, operational improvement initiatives, and innovation programs;</w:t>
      </w:r>
    </w:p>
    <w:p w14:paraId="4B48C779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(h) emissions reduction targets, sustainability targets, performance indicators, implementation milestones, and monitoring programs;</w:t>
      </w:r>
    </w:p>
    <w:p w14:paraId="42194FDD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(</w:t>
      </w:r>
      <w:proofErr w:type="spellStart"/>
      <w:r w:rsidRPr="00C62A66">
        <w:rPr>
          <w:rFonts w:ascii="Times New Roman" w:hAnsi="Times New Roman" w:cs="Times New Roman"/>
          <w:color w:val="156082" w:themeColor="accent1"/>
        </w:rPr>
        <w:t>i</w:t>
      </w:r>
      <w:proofErr w:type="spellEnd"/>
      <w:r w:rsidRPr="00C62A66">
        <w:rPr>
          <w:rFonts w:ascii="Times New Roman" w:hAnsi="Times New Roman" w:cs="Times New Roman"/>
          <w:color w:val="156082" w:themeColor="accent1"/>
        </w:rPr>
        <w:t>) project financial models, climate financing opportunities, sustainability financing arrangements, carbon revenue forecasts, and investment assessments;</w:t>
      </w:r>
    </w:p>
    <w:p w14:paraId="6019A222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(j) stakeholder engagement plans, investor communications, public commitments, sustainability communications, and reporting strategies;</w:t>
      </w:r>
    </w:p>
    <w:p w14:paraId="526DCBD1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(k) regulatory assessments, policy analyses, compliance obligations, governmental incentive programs, and climate-related regulatory developments;</w:t>
      </w:r>
    </w:p>
    <w:p w14:paraId="5930E61E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(l) strategic partnership opportunities, collaboration opportunities, climate initiatives, sustainability alliances, and business transformation programs; and</w:t>
      </w:r>
    </w:p>
    <w:p w14:paraId="41BDEF8B" w14:textId="7DF441AA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(m) any other commercial, financial, technical, operational, environmental, sustainability-related, climate-related, decarbonization-related, renewable-energy-related, strategic, or proprietary information disclosed in connection with Decarbonization activities.</w:t>
      </w:r>
    </w:p>
    <w:p w14:paraId="2E9B84DC" w14:textId="77777777" w:rsidR="00C62A66" w:rsidRPr="00C62A66" w:rsidRDefault="00C62A66" w:rsidP="00C62A66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62A66">
        <w:rPr>
          <w:rFonts w:ascii="Times New Roman" w:hAnsi="Times New Roman" w:cs="Times New Roman"/>
          <w:b/>
          <w:bCs/>
          <w:color w:val="156082" w:themeColor="accent1"/>
        </w:rPr>
        <w:lastRenderedPageBreak/>
        <w:t>E. OPTIONAL INTRODUCED CONTACTS DATASET</w:t>
      </w:r>
    </w:p>
    <w:p w14:paraId="1F44ABD7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Corporate Consumers</w:t>
      </w:r>
    </w:p>
    <w:p w14:paraId="28810843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Industrial Consumers</w:t>
      </w:r>
    </w:p>
    <w:p w14:paraId="7926ABCF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Infrastructure Companies</w:t>
      </w:r>
    </w:p>
    <w:p w14:paraId="5B9A0A40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Project Developers</w:t>
      </w:r>
    </w:p>
    <w:p w14:paraId="3F882260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Project Owners</w:t>
      </w:r>
    </w:p>
    <w:p w14:paraId="649B90A5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ESG Consultants</w:t>
      </w:r>
    </w:p>
    <w:p w14:paraId="3F08E6A1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Sustainability Consultants</w:t>
      </w:r>
    </w:p>
    <w:p w14:paraId="53847C6A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Climate Advisors</w:t>
      </w:r>
    </w:p>
    <w:p w14:paraId="1CA5C4C1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Environmental Consultants</w:t>
      </w:r>
    </w:p>
    <w:p w14:paraId="1E79D637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Infrastructure Funds</w:t>
      </w:r>
    </w:p>
    <w:p w14:paraId="431BB500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Institutional Investors</w:t>
      </w:r>
    </w:p>
    <w:p w14:paraId="18FBA39C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Government Authorities</w:t>
      </w:r>
    </w:p>
    <w:p w14:paraId="08C04CA6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Multilateral Institutions</w:t>
      </w:r>
    </w:p>
    <w:p w14:paraId="54493FE4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Technology Providers</w:t>
      </w:r>
    </w:p>
    <w:p w14:paraId="1924E187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Research Institutions</w:t>
      </w:r>
    </w:p>
    <w:p w14:paraId="36ECA766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Academic Institutions</w:t>
      </w:r>
    </w:p>
    <w:p w14:paraId="2FDEC61A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Financial Advisors</w:t>
      </w:r>
    </w:p>
    <w:p w14:paraId="1062A951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Legal Advisors</w:t>
      </w:r>
    </w:p>
    <w:p w14:paraId="3406420C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Industry Associations</w:t>
      </w:r>
    </w:p>
    <w:p w14:paraId="6F2093FC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  <w:r w:rsidRPr="00C62A66">
        <w:rPr>
          <w:rFonts w:ascii="Times New Roman" w:hAnsi="Times New Roman" w:cs="Times New Roman"/>
          <w:color w:val="156082" w:themeColor="accent1"/>
        </w:rPr>
        <w:t>Strategic Partners</w:t>
      </w:r>
    </w:p>
    <w:p w14:paraId="08955AEF" w14:textId="77777777" w:rsidR="00C62A66" w:rsidRPr="00C62A66" w:rsidRDefault="00C62A66" w:rsidP="00C62A66">
      <w:pPr>
        <w:jc w:val="both"/>
        <w:rPr>
          <w:rFonts w:ascii="Times New Roman" w:hAnsi="Times New Roman" w:cs="Times New Roman"/>
          <w:color w:val="156082" w:themeColor="accent1"/>
        </w:rPr>
      </w:pPr>
    </w:p>
    <w:sectPr w:rsidR="00C62A66" w:rsidRPr="00C62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D7790"/>
    <w:multiLevelType w:val="multilevel"/>
    <w:tmpl w:val="354CFF9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50A10965"/>
    <w:multiLevelType w:val="multilevel"/>
    <w:tmpl w:val="0E32062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65D0384"/>
    <w:multiLevelType w:val="multilevel"/>
    <w:tmpl w:val="372275A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671722B9"/>
    <w:multiLevelType w:val="multilevel"/>
    <w:tmpl w:val="88C0B34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7132624D"/>
    <w:multiLevelType w:val="multilevel"/>
    <w:tmpl w:val="D26E7E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86D40FD"/>
    <w:multiLevelType w:val="multilevel"/>
    <w:tmpl w:val="B1AEFB1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11638866">
    <w:abstractNumId w:val="4"/>
  </w:num>
  <w:num w:numId="2" w16cid:durableId="1650094669">
    <w:abstractNumId w:val="5"/>
  </w:num>
  <w:num w:numId="3" w16cid:durableId="1193373871">
    <w:abstractNumId w:val="1"/>
  </w:num>
  <w:num w:numId="4" w16cid:durableId="2072001345">
    <w:abstractNumId w:val="0"/>
  </w:num>
  <w:num w:numId="5" w16cid:durableId="1020082992">
    <w:abstractNumId w:val="3"/>
  </w:num>
  <w:num w:numId="6" w16cid:durableId="2245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66"/>
    <w:rsid w:val="000A7ED5"/>
    <w:rsid w:val="00C6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83177"/>
  <w15:chartTrackingRefBased/>
  <w15:docId w15:val="{3433440B-9D51-4995-A16B-D819BA9EB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754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2026-06-10T17:38:00Z</dcterms:created>
  <dcterms:modified xsi:type="dcterms:W3CDTF">2026-06-10T17:40:00Z</dcterms:modified>
</cp:coreProperties>
</file>