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80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"1-3"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m1-acceptance-criteria"/>
      <w:r>
        <w:rPr/>
        <w:t>M1 Acceptance Criteria</w:t>
      </w:r>
    </w:p>
    <w:p>
      <w:pPr>
        <w:pStyle w:val="BlockText"/>
        <w:rPr/>
      </w:pPr>
      <w:r>
        <w:rPr>
          <w:b/>
          <w:bCs/>
        </w:rPr>
        <w:t>SOW reference:</w:t>
      </w:r>
      <w:r>
        <w:rPr/>
        <w:t xml:space="preserve"> PQ4476E §5, Milestone 1 — "Test Plan Generation" (Weeks 1-2,).</w:t>
      </w:r>
    </w:p>
    <w:p>
      <w:pPr>
        <w:pStyle w:val="BlockText"/>
        <w:rPr/>
      </w:pPr>
      <w:r>
        <w:rPr>
          <w:b/>
          <w:bCs/>
        </w:rPr>
        <w:t>M1 deliverables per SOW:</w:t>
      </w:r>
    </w:p>
    <w:p>
      <w:pPr>
        <w:pStyle w:val="Compact"/>
        <w:numPr>
          <w:ilvl w:val="0"/>
          <w:numId w:val="5"/>
        </w:numPr>
        <w:rPr/>
      </w:pPr>
      <w:r>
        <w:rPr/>
        <w:t>Test plan generation from input documents (2 Word files + RFC)</w:t>
      </w:r>
    </w:p>
    <w:p>
      <w:pPr>
        <w:pStyle w:val="Compact"/>
        <w:numPr>
          <w:ilvl w:val="0"/>
          <w:numId w:val="1"/>
        </w:numPr>
        <w:rPr/>
      </w:pPr>
      <w:r>
        <w:rPr/>
        <w:t>Development environment</w:t>
      </w:r>
    </w:p>
    <w:p>
      <w:pPr>
        <w:pStyle w:val="Compact"/>
        <w:numPr>
          <w:ilvl w:val="0"/>
          <w:numId w:val="1"/>
        </w:numPr>
        <w:rPr/>
      </w:pPr>
      <w:r>
        <w:rPr/>
        <w:t>Document parser (PDF, DOCX, TXT)</w:t>
      </w:r>
    </w:p>
    <w:p>
      <w:pPr>
        <w:pStyle w:val="Compact"/>
        <w:numPr>
          <w:ilvl w:val="0"/>
          <w:numId w:val="1"/>
        </w:numPr>
        <w:rPr/>
      </w:pPr>
      <w:r>
        <w:rPr/>
        <w:t>Basic text extraction working</w:t>
      </w:r>
    </w:p>
    <w:p>
      <w:pPr>
        <w:pStyle w:val="Compact"/>
        <w:numPr>
          <w:ilvl w:val="0"/>
          <w:numId w:val="1"/>
        </w:numPr>
        <w:rPr/>
      </w:pPr>
      <w:r>
        <w:rPr/>
        <w:t>Technical design document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Deliverable: Test Plan (single router) for Exaware review and approval</w:t>
      </w:r>
    </w:p>
    <w:p>
      <w:pPr>
        <w:pStyle w:val="FirstParagraph"/>
        <w:rPr/>
      </w:pPr>
      <w:r>
        <w:rPr/>
        <w:t xml:space="preserve">This document is the contract for M1 completion. The numeric thresholds below are the gate. The scorecard generated by </w:t>
      </w:r>
      <w:r>
        <w:rPr>
          <w:rStyle w:val="VerbatimChar"/>
        </w:rPr>
        <w:t>./modular_tools.sh verify</w:t>
      </w:r>
      <w:r>
        <w:rPr/>
        <w:t xml:space="preserve"> evaluates each metric against the threshold. M1 is shippable only when every line is </w:t>
      </w:r>
      <w:r>
        <w:rPr>
          <w:rStyle w:val="VerbatimChar"/>
        </w:rPr>
        <w:t>[PASS]</w:t>
      </w:r>
      <w:r>
        <w:rPr/>
        <w:t xml:space="preserve"> AND the Test Plan xlsx artifact has been generated for Exaware review.</w:t>
      </w:r>
    </w:p>
    <w:p>
      <w:pPr>
        <w:pStyle w:val="Heading2"/>
        <w:rPr/>
      </w:pPr>
      <w:bookmarkStart w:id="1" w:name="tldr-for-the-project-owner"/>
      <w:r>
        <w:rPr/>
        <w:t>TL;DR for the Project Owner</w:t>
      </w:r>
    </w:p>
    <w:p>
      <w:pPr>
        <w:pStyle w:val="FirstParagraph"/>
        <w:rPr/>
      </w:pPr>
      <w:r>
        <w:rPr/>
        <w:t xml:space="preserve">Run </w:t>
      </w:r>
      <w:r>
        <w:rPr>
          <w:b/>
          <w:bCs/>
        </w:rPr>
        <w:t>one</w:t>
      </w:r>
      <w:r>
        <w:rPr/>
        <w:t xml:space="preserve"> command:</w:t>
      </w:r>
    </w:p>
    <w:p>
      <w:pPr>
        <w:pStyle w:val="SourceCode"/>
        <w:rPr/>
      </w:pPr>
      <w:r>
        <w:rPr>
          <w:rStyle w:val="VerbatimChar"/>
        </w:rPr>
        <w:t>./modular_tools.sh verify</w:t>
      </w:r>
    </w:p>
    <w:p>
      <w:pPr>
        <w:pStyle w:val="FirstParagraph"/>
        <w:rPr/>
      </w:pPr>
      <w:r>
        <w:rPr/>
        <w:t xml:space="preserve">If the last line says </w:t>
      </w:r>
      <w:r>
        <w:rPr>
          <w:rStyle w:val="VerbatimChar"/>
        </w:rPr>
        <w:t>OVERALL: PASS</w:t>
      </w:r>
      <w:r>
        <w:rPr/>
        <w:t xml:space="preserve">, M1 is ready for Exaware spot-check. If it says </w:t>
      </w:r>
      <w:r>
        <w:rPr>
          <w:rStyle w:val="VerbatimChar"/>
        </w:rPr>
        <w:t>OVERALL: FAIL</w:t>
      </w:r>
      <w:r>
        <w:rPr/>
        <w:t>, the named metric is below its threshold and M1 is not shippable.</w:t>
      </w:r>
      <w:bookmarkEnd w:id="1"/>
    </w:p>
    <w:p>
      <w:pPr>
        <w:pStyle w:val="Heading2"/>
        <w:rPr/>
      </w:pPr>
      <w:r>
        <w:rPr/>
        <w:t>Metrics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Metric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Threshold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What it actually means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heading_recovery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≥ 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Detected headings match the committed golden list (manually reviewed). Catches regressions where heading detection silently drops sections.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cli_block_preservation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= 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Each curated CLI signature in the EVPN spec appears verbatim in the IR's code blocks. Hard gate — these become test inputs in M3/M4.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table_preservation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≥ 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Each tracked document yields at least the expected number of structured tables. Tables come back as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rows × cells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, not flattened text.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anchor_detection (M2)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reported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Count of 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EVPNS-REQ#NN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anchors visible in IR full text. Reported, </w:t>
            </w: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zh-CN" w:bidi="ar-SA"/>
              </w:rPr>
              <w:t>not gated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 xml:space="preserve"> at M1 — formal scoring is M2 territory.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format_parity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word-Jaccard ≥ 0.90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RFC 9785 in DOCX/TXT/PDF produces ≥ 90% identical word sets. Confirms "same content, three formats."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determinism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3/3 byte-identical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Three consecutive runs over the same input produce byte-identical IR. Catches non-determinism (sets-with-id, etc.) before it hides downstream bugs.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no_unhandled_exceptions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= 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The parser raises no untyped exceptions on Tier-A/B corpus.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performance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&lt; 30 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rfc7432bis-13.docx (450 KB) parses in under 30 seconds on dev hardware.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edge_cases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manifest match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Each Tier-C edge case file produces exactly the typed error class declared in the manifest, or parses cleanly when expected.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M1.j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plan_generation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382 rows, 100% AI-enriched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The deliverable xlsx (</w:t>
            </w:r>
            <w:r>
              <w:rPr>
                <w:rStyle w:val="VerbatimChar"/>
                <w:rFonts w:eastAsia="" w:cs=""/>
                <w:kern w:val="0"/>
                <w:szCs w:val="24"/>
                <w:lang w:val="en-US" w:eastAsia="zh-CN" w:bidi="ar-SA"/>
              </w:rPr>
              <w:t>plans/EVPN_System_Specification_1.00.xlsx</w:t>
            </w: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) contains 382 rows for 40 requirements, every row enriched via Claude with feature-specific action steps and expectations referencing the source spec.</w:t>
            </w:r>
            <w:bookmarkStart w:id="2" w:name="metrics"/>
            <w:bookmarkEnd w:id="2"/>
          </w:p>
        </w:tc>
      </w:tr>
    </w:tbl>
    <w:p>
      <w:pPr>
        <w:pStyle w:val="Heading2"/>
        <w:rPr/>
      </w:pPr>
      <w:r>
        <w:rPr/>
        <w:t>What an honest "PASS" actually means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Strong claims</w:t>
      </w:r>
      <w:r>
        <w:rPr/>
        <w:t xml:space="preserve">: M1.b, M1.e, M1.f, M1.g, M1.h, M1.i, </w:t>
      </w:r>
      <w:r>
        <w:rPr>
          <w:b/>
          <w:bCs/>
        </w:rPr>
        <w:t>M1.j</w:t>
      </w:r>
      <w:r>
        <w:rPr/>
        <w:t xml:space="preserve"> are absolute checks — passing them is real evidence. M1.j in particular is the contractual deliverable artifact (the xlsx) — its existence + content quality is reviewable directly by Exaware.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Regression claims</w:t>
      </w:r>
      <w:r>
        <w:rPr/>
        <w:t xml:space="preserve">: M1.a, M1.c are </w:t>
      </w:r>
      <w:r>
        <w:rPr>
          <w:i/>
          <w:iCs/>
        </w:rPr>
        <w:t>regression</w:t>
      </w:r>
      <w:r>
        <w:rPr/>
        <w:t xml:space="preserve"> gates — they detect drift from a baseline, but the baseline itself was generated from the parser output. The first time the goldens are committed they pass trivially. Their value is preventing future drift.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Required human review (Exaware)</w:t>
      </w:r>
      <w:r>
        <w:rPr/>
        <w:t xml:space="preserve">: see </w:t>
      </w:r>
      <w:r>
        <w:rPr>
          <w:rStyle w:val="VerbatimChar"/>
        </w:rPr>
        <w:t>docs/exaware-acceptance.md</w:t>
      </w:r>
      <w:r>
        <w:rPr/>
        <w:t xml:space="preserve"> — the Exaware reviewer must spot-check 3 specific items in the IR for the EVPN spec at end of W2. The numeric scorecard cannot replace this.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Reported only</w:t>
      </w:r>
      <w:r>
        <w:rPr/>
        <w:t>: M1.d (anchor detection) is reported but not gated — it's an M2 metric, surfaced here for visibility.</w:t>
      </w:r>
    </w:p>
    <w:p>
      <w:pPr>
        <w:pStyle w:val="Heading2"/>
        <w:rPr/>
      </w:pPr>
      <w:bookmarkStart w:id="3" w:name="updating-goldens-regression-contract"/>
      <w:r>
        <w:rPr/>
        <w:t>Updating goldens (regression contract)</w:t>
      </w:r>
    </w:p>
    <w:p>
      <w:pPr>
        <w:pStyle w:val="FirstParagraph"/>
        <w:rPr/>
      </w:pPr>
      <w:r>
        <w:rPr/>
        <w:t>Goldens are the regression contract. When a parser change is intentional and approved:</w:t>
      </w:r>
    </w:p>
    <w:p>
      <w:pPr>
        <w:pStyle w:val="SourceCode"/>
        <w:rPr/>
      </w:pPr>
      <w:r>
        <w:rPr>
          <w:rStyle w:val="VerbatimChar"/>
        </w:rPr>
        <w:t>./modular_tools.sh golden_diff     # see what would change</w:t>
      </w:r>
      <w:r>
        <w:rPr/>
        <w:br/>
      </w:r>
      <w:r>
        <w:rPr>
          <w:rStyle w:val="VerbatimChar"/>
        </w:rPr>
        <w:t>./modular_tools.sh golden_update   # rewrite goldens (with confirmation)</w:t>
      </w:r>
    </w:p>
    <w:p>
      <w:pPr>
        <w:pStyle w:val="FirstParagraph"/>
        <w:rPr/>
      </w:pPr>
      <w:bookmarkStart w:id="4" w:name="updating-goldens-regression-contract"/>
      <w:r>
        <w:rPr/>
        <w:t>Updating a golden = an explicit decision to redefine "correct." The diff must be reviewed before commit.</w:t>
      </w:r>
      <w:bookmarkEnd w:id="4"/>
    </w:p>
    <w:p>
      <w:pPr>
        <w:pStyle w:val="Heading2"/>
        <w:rPr/>
      </w:pPr>
      <w:bookmarkStart w:id="5" w:name="out-of-scope-for-m1"/>
      <w:r>
        <w:rPr/>
        <w:t>Out of scope for M1</w:t>
      </w:r>
    </w:p>
    <w:p>
      <w:pPr>
        <w:pStyle w:val="Compact"/>
        <w:numPr>
          <w:ilvl w:val="0"/>
          <w:numId w:val="6"/>
        </w:numPr>
        <w:rPr/>
      </w:pPr>
      <w:r>
        <w:rPr/>
        <w:t>Multi-router topologies — M1 produces single-router test plans only (multi-router is M3)</w:t>
      </w:r>
    </w:p>
    <w:p>
      <w:pPr>
        <w:pStyle w:val="Compact"/>
        <w:numPr>
          <w:ilvl w:val="0"/>
          <w:numId w:val="7"/>
        </w:numPr>
        <w:rPr/>
      </w:pPr>
      <w:r>
        <w:rPr/>
        <w:t>Java / JSystem code generation — M4 (M1 produces xlsx test plans, no executable code yet)</w:t>
      </w:r>
    </w:p>
    <w:p>
      <w:pPr>
        <w:pStyle w:val="Compact"/>
        <w:numPr>
          <w:ilvl w:val="0"/>
          <w:numId w:val="8"/>
        </w:numPr>
        <w:rPr/>
      </w:pPr>
      <w:r>
        <w:rPr/>
        <w:t>IXIA + neighboring-router test infrastructure hooks — M4</w:t>
      </w:r>
    </w:p>
    <w:p>
      <w:pPr>
        <w:pStyle w:val="Compact"/>
        <w:numPr>
          <w:ilvl w:val="0"/>
          <w:numId w:val="9"/>
        </w:numPr>
        <w:rPr/>
      </w:pPr>
      <w:r>
        <w:rPr/>
        <w:t>Web UI (M5)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Pattern matching across all spec styles — M2 (M1 supports the explicit </w:t>
      </w:r>
      <w:r>
        <w:rPr>
          <w:rStyle w:val="VerbatimChar"/>
        </w:rPr>
        <w:t>&lt;PREFIX&gt;-REQ#NN</w:t>
      </w:r>
      <w:r>
        <w:rPr/>
        <w:t xml:space="preserve"> pattern only)</w:t>
      </w:r>
    </w:p>
    <w:p>
      <w:pPr>
        <w:pStyle w:val="Compact"/>
        <w:numPr>
          <w:ilvl w:val="0"/>
          <w:numId w:val="11"/>
        </w:numPr>
        <w:rPr/>
      </w:pPr>
      <w:r>
        <w:rPr/>
        <w:t>Functional vs. non-functional classification (M2)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OCR for scanned PDFs (parser raises </w:t>
      </w:r>
      <w:r>
        <w:rPr>
          <w:rStyle w:val="VerbatimChar"/>
        </w:rPr>
        <w:t>UnsupportedScannedPDFError</w:t>
      </w:r>
      <w:r>
        <w:rPr/>
        <w:t xml:space="preserve"> and stops)</w:t>
      </w:r>
    </w:p>
    <w:p>
      <w:pPr>
        <w:pStyle w:val="Compact"/>
        <w:numPr>
          <w:ilvl w:val="0"/>
          <w:numId w:val="13"/>
        </w:numPr>
        <w:spacing w:before="36" w:after="36"/>
        <w:rPr/>
      </w:pPr>
      <w:r>
        <w:rPr/>
        <w:t>Vertical-merge (</w:t>
      </w:r>
      <w:r>
        <w:rPr>
          <w:rStyle w:val="VerbatimChar"/>
        </w:rPr>
        <w:t>vMerge</w:t>
      </w:r>
      <w:r>
        <w:rPr/>
        <w:t xml:space="preserve">) tracking in tables — </w:t>
      </w:r>
      <w:r>
        <w:rPr>
          <w:rStyle w:val="VerbatimChar"/>
        </w:rPr>
        <w:t>rowspan</w:t>
      </w:r>
      <w:r>
        <w:rPr/>
        <w:t xml:space="preserve"> recorded as 1</w:t>
      </w:r>
      <w:bookmarkEnd w:id="0"/>
      <w:bookmarkEnd w:id="5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</Pages>
  <Words>651</Words>
  <Characters>3721</Characters>
  <CharactersWithSpaces>4295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2026-05-05T07:43:38Z</dcterms:created>
  <dc:creator/>
  <dc:description/>
  <dc:language>en-US</dc:language>
  <cp:lastModifiedBy/>
  <dcterms:modified xsi:type="dcterms:W3CDTF">2026-05-05T10:47:24Z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