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/>
      </w:pPr>
      <w:bookmarkStart w:id="0" w:name="technical-design-document--ate--m1"/>
      <w:bookmarkEnd w:id="0"/>
      <w:r>
        <w:rPr/>
        <w:t>Technical Design Document — ATE / M1</w:t>
      </w:r>
    </w:p>
    <w:p>
      <w:pPr>
        <w:pStyle w:val="FirstParagraph"/>
        <w:rPr/>
      </w:pPr>
      <w:r>
        <w:rPr>
          <w:b/>
          <w:bCs/>
        </w:rPr>
        <w:t>Project:</w:t>
      </w:r>
      <w:r>
        <w:rPr/>
        <w:t xml:space="preserve"> AI-Assisted Test Plan &amp; Automation Skeleton Generator (POC) — Codevalue PQ 4476 for Exaware </w:t>
      </w:r>
      <w:r>
        <w:rPr>
          <w:b/>
          <w:bCs/>
        </w:rPr>
        <w:t>Current SOW:</w:t>
      </w:r>
      <w:r>
        <w:rPr/>
        <w:t xml:space="preserve"> </w:t>
      </w:r>
      <w:r>
        <w:rPr>
          <w:rStyle w:val="VerbatimChar"/>
        </w:rPr>
        <w:t>../PQ4476E.pdf</w:t>
      </w:r>
      <w:r>
        <w:rPr/>
        <w:t xml:space="preserve"> </w:t>
      </w:r>
      <w:r>
        <w:rPr>
          <w:b/>
          <w:bCs/>
        </w:rPr>
        <w:t>Milestone:</w:t>
      </w:r>
      <w:r>
        <w:rPr/>
        <w:t xml:space="preserve"> M1 — </w:t>
      </w:r>
      <w:r>
        <w:rPr>
          <w:b/>
          <w:bCs/>
        </w:rPr>
        <w:t>Test Plan Generation</w:t>
      </w:r>
      <w:r>
        <w:rPr/>
        <w:t xml:space="preserve"> </w:t>
      </w:r>
      <w:r>
        <w:rPr>
          <w:b/>
          <w:bCs/>
        </w:rPr>
        <w:t>Status:</w:t>
      </w:r>
      <w:r>
        <w:rPr/>
        <w:t xml:space="preserve"> M1 deliverable </w:t>
      </w:r>
      <w:r>
        <w:rPr>
          <w:b/>
          <w:bCs/>
        </w:rPr>
        <w:t>Audience:</w:t>
      </w:r>
      <w:r>
        <w:rPr/>
        <w:t xml:space="preserve"> Project owner (Codevalue), reviewer (Exaware)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X0d9dc283b645a13cffe70ae7cbafb1b93bf5870"/>
      <w:r>
        <w:rPr/>
        <w:t>1. Executive summary (read this first)</w:t>
      </w:r>
    </w:p>
    <w:p>
      <w:pPr>
        <w:pStyle w:val="FirstParagraph"/>
        <w:rPr/>
      </w:pPr>
      <w:r>
        <w:rPr/>
        <w:t xml:space="preserve">Per SOW PQ4476E §5, M1 is </w:t>
      </w:r>
      <w:r>
        <w:rPr>
          <w:b/>
          <w:bCs/>
        </w:rPr>
        <w:t>"Test Plan Generation"</w:t>
      </w:r>
      <w:r>
        <w:rPr/>
        <w:t xml:space="preserve"> with the following deliverables:</w:t>
      </w:r>
    </w:p>
    <w:p>
      <w:pPr>
        <w:pStyle w:val="Compact"/>
        <w:numPr>
          <w:ilvl w:val="0"/>
          <w:numId w:val="12"/>
        </w:numPr>
        <w:rPr/>
      </w:pPr>
      <w:r>
        <w:rPr/>
        <w:t>Test plan generation from input documents (2 Word files + RFC)</w:t>
      </w:r>
    </w:p>
    <w:p>
      <w:pPr>
        <w:pStyle w:val="Compact"/>
        <w:numPr>
          <w:ilvl w:val="0"/>
          <w:numId w:val="1"/>
        </w:numPr>
        <w:rPr/>
      </w:pPr>
      <w:r>
        <w:rPr/>
        <w:t>Development environment</w:t>
      </w:r>
    </w:p>
    <w:p>
      <w:pPr>
        <w:pStyle w:val="Compact"/>
        <w:numPr>
          <w:ilvl w:val="0"/>
          <w:numId w:val="1"/>
        </w:numPr>
        <w:rPr/>
      </w:pPr>
      <w:r>
        <w:rPr/>
        <w:t>Document parser (PDF, DOCX, TXT)</w:t>
      </w:r>
    </w:p>
    <w:p>
      <w:pPr>
        <w:pStyle w:val="Compact"/>
        <w:numPr>
          <w:ilvl w:val="0"/>
          <w:numId w:val="1"/>
        </w:numPr>
        <w:rPr/>
      </w:pPr>
      <w:r>
        <w:rPr/>
        <w:t>Basic text extraction working</w:t>
      </w:r>
    </w:p>
    <w:p>
      <w:pPr>
        <w:pStyle w:val="Compact"/>
        <w:numPr>
          <w:ilvl w:val="0"/>
          <w:numId w:val="1"/>
        </w:numPr>
        <w:rPr/>
      </w:pPr>
      <w:r>
        <w:rPr/>
        <w:t>Technical design document (this file)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Deliverable artifact</w:t>
      </w:r>
      <w:r>
        <w:rPr/>
        <w:t>: Test Plan (single router) xlsx for Exaware review/approval</w:t>
      </w:r>
    </w:p>
    <w:p>
      <w:pPr>
        <w:pStyle w:val="FirstParagraph"/>
        <w:rPr/>
      </w:pPr>
      <w:r>
        <w:rPr/>
        <w:t>The implementation pipeline:</w:t>
      </w:r>
    </w:p>
    <w:p>
      <w:pPr>
        <w:pStyle w:val="BodyText"/>
        <w:rPr/>
      </w:pPr>
      <w:r>
        <w:rPr/>
        <w:drawing>
          <wp:inline distT="0" distB="0" distL="0" distR="0">
            <wp:extent cx="5334000" cy="631190"/>
            <wp:effectExtent l="0" t="0" r="0" b="0"/>
            <wp:docPr id="3" name="Picture" descr="Figure 1 — End-to-end pipeline (M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Figure 1 — End-to-end pipeline (M1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>
          <w:b/>
          <w:bCs/>
        </w:rPr>
        <w:t>One command</w:t>
      </w:r>
      <w:r>
        <w:rPr/>
        <w:t xml:space="preserve"> for the project owner:</w:t>
      </w:r>
    </w:p>
    <w:p>
      <w:pPr>
        <w:pStyle w:val="SourceCode"/>
        <w:rPr/>
      </w:pPr>
      <w:r>
        <w:rPr>
          <w:rStyle w:val="VerbatimChar"/>
        </w:rPr>
        <w:t>./modular_tools.sh run-tests</w:t>
      </w:r>
    </w:p>
    <w:p>
      <w:pPr>
        <w:pStyle w:val="FirstParagraph"/>
        <w:rPr/>
      </w:pPr>
      <w:r>
        <w:rPr/>
        <w:t>Runs every gate (env, corpus, pytest, coverage, scorecard, requirements traceability, lint, performance) and writes a single HTML report.</w:t>
      </w:r>
    </w:p>
    <w:p>
      <w:pPr>
        <w:pStyle w:val="BodyText"/>
        <w:rPr/>
      </w:pPr>
      <w:r>
        <w:rPr>
          <w:b/>
          <w:bCs/>
        </w:rPr>
        <w:t>Generate the M1 deliverable</w:t>
      </w:r>
      <w:r>
        <w:rPr/>
        <w:t xml:space="preserve"> (the xlsx Exaware reviews):</w:t>
      </w:r>
    </w:p>
    <w:p>
      <w:pPr>
        <w:pStyle w:val="SourceCode"/>
        <w:rPr/>
      </w:pPr>
      <w:r>
        <w:rPr>
          <w:rStyle w:val="VerbatimChar"/>
        </w:rPr>
        <w:t>./modular_tools.sh plan_all       # writes plans/*.xlsx for every Word spec in references/</w:t>
      </w:r>
    </w:p>
    <w:p>
      <w:pPr>
        <w:pStyle w:val="FirstParagraph"/>
        <w:rPr/>
      </w:pPr>
      <w:r>
        <w:rPr>
          <w:b/>
          <w:bCs/>
        </w:rPr>
        <w:t>Out of scope (per SOW):</w:t>
      </w:r>
      <w:r>
        <w:rPr/>
        <w:t xml:space="preserve"> multi-router topologies (M3), Java/JSystem code generation (M4), IXIA + neighboring-router hooks (M4), web UI (M5).</w:t>
      </w:r>
    </w:p>
    <w:p>
      <w:pPr>
        <w:pStyle w:val="BodyText"/>
        <w:rPr/>
      </w:pPr>
      <w:r>
        <w:rPr>
          <w:b/>
          <w:bCs/>
        </w:rPr>
        <w:t>AI in M1</w:t>
      </w:r>
      <w:r>
        <w:rPr/>
        <w:t>: although the SOW puts "OpenAI/Claude API integration" formally in M3, M1 already integrates Claude (Anthropic SDK) for plan-row enrichment. The committed cache (</w:t>
      </w:r>
      <w:r>
        <w:rPr>
          <w:rStyle w:val="VerbatimChar"/>
        </w:rPr>
        <w:t>ate/planner/ai_cache.json</w:t>
      </w:r>
      <w:r>
        <w:rPr/>
        <w:t xml:space="preserve">) covers </w:t>
      </w:r>
      <w:r>
        <w:rPr>
          <w:b/>
          <w:bCs/>
        </w:rPr>
        <w:t>100% of the EVPN System Specification 1.00 rows (382/382)</w:t>
      </w:r>
      <w:r>
        <w:rPr/>
        <w:t xml:space="preserve"> with feature-specific AI-quality content — references real CLI commands, RFC chapters, MUST statements drawn from the source spec. New specs added later are enriched on the fly when </w:t>
      </w:r>
      <w:r>
        <w:rPr>
          <w:rStyle w:val="VerbatimChar"/>
        </w:rPr>
        <w:t>ANTHROPIC_API_KEY</w:t>
      </w:r>
      <w:r>
        <w:rPr/>
        <w:t xml:space="preserve"> is set. M3 then expands AI usage to multi-router topologies, prioritization, and coverage tracking per the SOW M3 deliverable list.</w:t>
      </w:r>
    </w:p>
    <w:p>
      <w:pPr>
        <w:pStyle w:val="BodyText"/>
        <w:rPr/>
      </w:pPr>
      <w:r>
        <w:rPr>
          <w:b/>
          <w:bCs/>
        </w:rPr>
        <w:t>Tag-applicability tightening (matrix v4)</w:t>
      </w:r>
      <w:r>
        <w:rPr/>
        <w:t xml:space="preserve">: per-requirement category selection is rule-based (keyword tags from </w:t>
      </w:r>
      <w:r>
        <w:rPr>
          <w:rStyle w:val="VerbatimChar"/>
        </w:rPr>
        <w:t>extractor.TAG_KEYWORDS</w:t>
      </w:r>
      <w:r>
        <w:rPr/>
        <w:t xml:space="preserve"> with title-pattern lockouts in </w:t>
      </w:r>
      <w:r>
        <w:rPr>
          <w:rStyle w:val="VerbatimChar"/>
        </w:rPr>
        <w:t>TAG_TITLE_LOCKOUTS</w:t>
      </w:r>
      <w:r>
        <w:rPr/>
        <w:t xml:space="preserve">). Scoring is title-weighted: </w:t>
      </w:r>
      <w:r>
        <w:rPr>
          <w:rStyle w:val="VerbatimChar"/>
        </w:rPr>
        <w:t>score = 3 × title_keyword_hits + 1 × description_keyword_hits</w:t>
      </w:r>
      <w:r>
        <w:rPr/>
        <w:t>, threshold 2 (one title hit OR two distinct description hits). This eliminates the v1/v2 false positives where a single passing mention of a keyword in description (e.g. "MAC mobility flag" in REQ#280's route-format description) would falsely apply a tag like HA. Net effect: row count dropped from 543 to 382 (−30%), and the rows that remain are categorically applicable. Reviewer feedback (Q7d) refines this further in M2.</w:t>
      </w:r>
    </w:p>
    <w:p>
      <w:pPr>
        <w:pStyle w:val="Normal"/>
        <w:rPr/>
      </w:pPr>
      <w:bookmarkStart w:id="2" w:name="X0d9dc283b645a13cffe70ae7cbafb1b93bf587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X136a724f0ad6bedecc70d52a088da11b9355002"/>
      <w:r>
        <w:rPr/>
        <w:t>2. Architecture</w:t>
      </w:r>
    </w:p>
    <w:p>
      <w:pPr>
        <w:pStyle w:val="FirstParagraph"/>
        <w:rPr/>
      </w:pPr>
      <w:r>
        <w:rPr/>
        <w:drawing>
          <wp:inline distT="0" distB="0" distL="0" distR="0">
            <wp:extent cx="5334000" cy="9448800"/>
            <wp:effectExtent l="0" t="0" r="0" b="0"/>
            <wp:docPr id="6" name="Image2" descr="Figure 2 — ATE component architecture. Inputs flow through the parser dispatcher into a single Pydantic IR; the planner branch (extractor → generator → AI enricher → xlsx writer) produces the M1 deliver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Figure 2 — ATE component architecture. Inputs flow through the parser dispatcher into a single Pydantic IR; the planner branch (extractor → generator → AI enricher → xlsx writer) produces the M1 deliverable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{width=5.0in}</w:t>
      </w:r>
    </w:p>
    <w:p>
      <w:pPr>
        <w:pStyle w:val="BodyText"/>
        <w:rPr/>
      </w:pPr>
      <w:r>
        <w:rPr/>
        <w:t>The Plan model (</w:t>
      </w:r>
      <w:r>
        <w:rPr>
          <w:rStyle w:val="VerbatimChar"/>
        </w:rPr>
        <w:t>ate.planner.model</w:t>
      </w:r>
      <w:r>
        <w:rPr/>
        <w:t xml:space="preserve">) is the format-neutral artifact. The M1 deliverable is </w:t>
      </w:r>
      <w:r>
        <w:rPr>
          <w:b/>
          <w:bCs/>
        </w:rPr>
        <w:t>AI-enriched 100% via Claude (Anthropic)</w:t>
      </w:r>
      <w:r>
        <w:rPr/>
        <w:t xml:space="preserve"> — every plan row references real spec content (CLI commands, RFC chapters, MUST statements). The cache (</w:t>
      </w:r>
      <w:r>
        <w:rPr>
          <w:rStyle w:val="VerbatimChar"/>
        </w:rPr>
        <w:t>ate/planner/ai_cache.json</w:t>
      </w:r>
      <w:r>
        <w:rPr/>
        <w:t>) is committed so the deliverable is reproducible without an API key. M3 expands AI usage to multi-router topologies, prioritization, and coverage tracking per the SOW M3 deliverable list; M5's web UI reads the same Plan shape.</w:t>
      </w:r>
    </w:p>
    <w:p>
      <w:pPr>
        <w:pStyle w:val="Heading3"/>
        <w:rPr/>
      </w:pPr>
      <w:r>
        <w:rPr/>
        <w:t>2.1 Components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Module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Responsibility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ate.ir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Pydantic IR models for parsed documents. Schema versioned (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SCHEMA_VERSION = "1.0.0"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).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ate.errors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Typed exceptions: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UnsupportedFormatError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CorruptDocumentError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PasswordProtectedError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EmptyDocumentError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UnsupportedScannedPDFError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EncodingError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ate.parsers.dispatch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 format by magic bytes + suffix; route to the right parser.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ate.parsers.docx_parser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DOCX via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python-docx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; iterates body in document order; detects code blocks via monospace font / CLI-shape heuristics; tables via direct XML.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ate.parsers.pdf_parser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PDF via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pdfplumber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; layout-based extraction; heading detection by font-size delta vs. body; table extraction via lattice/stream; rejects scanned PDFs.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ate.parsers.txt_parser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Plain text; RFC numbered headings, setext, markdown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#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, ALL-CAPS; indented + fenced code blocks.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ate.normalize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Strip format-specific noise (page numbers, soft hyphens, smart quotes, whitespace) for parity comparisons.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ate.planner.model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Plan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PlanRow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Requirement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Pydantic models — the format-neutral plan artifact.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ate.planner.extractor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Pulls requirements from IR using anchor regex (default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&lt;PREFIX&gt;-REQ#NN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).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ate.planner.categories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Test-plan category definitions — categories + per-category sub-test templates from the Exaware xlsx template.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ate.planner.generator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IR → Plan model. Builds a rule-based scaffold then routes through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ai_enricher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(cache → live Claude API → rule-based fallback).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ate.planner.ai_enricher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Anthropic Claude integration. The committed cache covers 100% of EVPN System Specification rows; live API (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ANTHROPIC_API_KEY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) extends to new specs on the fly.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ate.planner.xlsx_writer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Plan → xlsx matching the Exaware template column shape.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ate.cli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ate parse &lt;file&gt; -o out.json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and `ate plan  -o plan.xlsx [--ai</w:t>
            </w:r>
            <w:bookmarkStart w:id="4" w:name="Xcb567e5fd0c88ed9d1148f8cd2ef56455e8c064"/>
            <w:bookmarkEnd w:id="4"/>
          </w:p>
        </w:tc>
      </w:tr>
    </w:tbl>
    <w:p>
      <w:pPr>
        <w:pStyle w:val="Heading3"/>
        <w:rPr/>
      </w:pPr>
      <w:r>
        <w:rPr/>
        <w:t>2.2 Why a Pydantic IR (not raw dicts)</w:t>
      </w:r>
    </w:p>
    <w:p>
      <w:pPr>
        <w:pStyle w:val="Compact"/>
        <w:numPr>
          <w:ilvl w:val="0"/>
          <w:numId w:val="2"/>
        </w:numPr>
        <w:rPr/>
      </w:pPr>
      <w:r>
        <w:rPr/>
        <w:t>Schema is enforced at parse time; downstream consumers (M2, M3, M4) get typed access.</w:t>
      </w:r>
    </w:p>
    <w:p>
      <w:pPr>
        <w:pStyle w:val="Compact"/>
        <w:numPr>
          <w:ilvl w:val="0"/>
          <w:numId w:val="2"/>
        </w:numPr>
        <w:rPr/>
      </w:pPr>
      <w:r>
        <w:rPr/>
        <w:t>Pydantic emits stable, ordered JSON — feeds the determinism gate (M1.f).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Discriminated union of </w:t>
      </w:r>
      <w:r>
        <w:rPr>
          <w:rStyle w:val="VerbatimChar"/>
        </w:rPr>
        <w:t>Block</w:t>
      </w:r>
      <w:r>
        <w:rPr/>
        <w:t xml:space="preserve"> types makes traversal and pattern-matching ergonomic.</w:t>
      </w:r>
    </w:p>
    <w:p>
      <w:pPr>
        <w:pStyle w:val="Heading3"/>
        <w:rPr/>
      </w:pPr>
      <w:bookmarkStart w:id="5" w:name="Xb01aadcf796a8c0488783e7bafffe3f939a973f"/>
      <w:r>
        <w:rPr/>
        <w:t>2.3 Why the IR is a flat list, not a tree</w:t>
      </w:r>
    </w:p>
    <w:p>
      <w:pPr>
        <w:pStyle w:val="FirstParagraph"/>
        <w:rPr/>
      </w:pPr>
      <w:r>
        <w:rPr/>
        <w:t xml:space="preserve">Section structure is implicit via </w:t>
      </w:r>
      <w:r>
        <w:rPr>
          <w:rStyle w:val="VerbatimChar"/>
        </w:rPr>
        <w:t>Heading.level</w:t>
      </w:r>
      <w:r>
        <w:rPr/>
        <w:t>. Consumers that need a tree build one from blocks. Reasons:</w:t>
      </w:r>
    </w:p>
    <w:p>
      <w:pPr>
        <w:pStyle w:val="Compact"/>
        <w:numPr>
          <w:ilvl w:val="0"/>
          <w:numId w:val="13"/>
        </w:numPr>
        <w:rPr/>
      </w:pPr>
      <w:r>
        <w:rPr/>
        <w:t>Different parsers produce different heading qualities; flat-list simplifies merging strategies later.</w:t>
      </w:r>
    </w:p>
    <w:p>
      <w:pPr>
        <w:pStyle w:val="Compact"/>
        <w:numPr>
          <w:ilvl w:val="0"/>
          <w:numId w:val="14"/>
        </w:numPr>
        <w:rPr/>
      </w:pPr>
      <w:r>
        <w:rPr/>
        <w:t>Tables and code blocks at section boundaries are unambiguous (no "which subsection does this belong to?" debate during parsing).</w:t>
      </w:r>
    </w:p>
    <w:p>
      <w:pPr>
        <w:pStyle w:val="Compact"/>
        <w:numPr>
          <w:ilvl w:val="0"/>
          <w:numId w:val="15"/>
        </w:numPr>
        <w:rPr/>
      </w:pPr>
      <w:r>
        <w:rPr/>
        <w:t>Round-tripping is easier (consumer reorders, parser doesn't).</w:t>
      </w:r>
    </w:p>
    <w:p>
      <w:pPr>
        <w:pStyle w:val="Normal"/>
        <w:rPr/>
      </w:pPr>
      <w:bookmarkStart w:id="6" w:name="X136a724f0ad6bedecc70d52a088da11b9355002"/>
      <w:bookmarkStart w:id="7" w:name="Xb01aadcf796a8c0488783e7bafffe3f939a973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  <w:bookmarkEnd w:id="7"/>
    </w:p>
    <w:p>
      <w:pPr>
        <w:pStyle w:val="Heading2"/>
        <w:rPr/>
      </w:pPr>
      <w:bookmarkStart w:id="8" w:name="Xcb281e2231bb5b82794af2edbf9a197c7debd9f"/>
      <w:bookmarkEnd w:id="8"/>
      <w:r>
        <w:rPr/>
        <w:t>3. Format-specific parsing strategy</w:t>
      </w:r>
    </w:p>
    <w:p>
      <w:pPr>
        <w:pStyle w:val="Heading3"/>
        <w:rPr/>
      </w:pPr>
      <w:bookmarkStart w:id="9" w:name="X7ad42ebdd06d69f27b7275cc81d29c2ca3117e4"/>
      <w:r>
        <w:rPr/>
        <w:t>3.1 DOCX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Iterate </w:t>
      </w:r>
      <w:r>
        <w:rPr>
          <w:rStyle w:val="VerbatimChar"/>
        </w:rPr>
        <w:t>document.iter_inner_content()</w:t>
      </w:r>
      <w:r>
        <w:rPr/>
        <w:t xml:space="preserve"> so paragraphs and tables stay in document order.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Heading detection priority: </w:t>
      </w:r>
      <w:r>
        <w:rPr>
          <w:rStyle w:val="VerbatimChar"/>
        </w:rPr>
        <w:t>Heading 1..9</w:t>
      </w:r>
      <w:r>
        <w:rPr/>
        <w:t xml:space="preserve"> style → </w:t>
      </w:r>
      <w:r>
        <w:rPr>
          <w:rStyle w:val="VerbatimChar"/>
        </w:rPr>
        <w:t>Title</w:t>
      </w:r>
      <w:r>
        <w:rPr/>
        <w:t xml:space="preserve"> style → fallback heuristic on numbered prefix </w:t>
      </w:r>
      <w:r>
        <w:rPr>
          <w:rStyle w:val="VerbatimChar"/>
        </w:rPr>
        <w:t>"2.3.1 Title"</w:t>
      </w:r>
      <w:r>
        <w:rPr/>
        <w:t>.</w:t>
      </w:r>
    </w:p>
    <w:p>
      <w:pPr>
        <w:pStyle w:val="Compact"/>
        <w:numPr>
          <w:ilvl w:val="0"/>
          <w:numId w:val="18"/>
        </w:numPr>
        <w:rPr/>
      </w:pPr>
      <w:r>
        <w:rPr/>
        <w:t>TOC entries (</w:t>
      </w:r>
      <w:r>
        <w:rPr>
          <w:rStyle w:val="VerbatimChar"/>
        </w:rPr>
        <w:t>TOC 1..9</w:t>
      </w:r>
      <w:r>
        <w:rPr/>
        <w:t xml:space="preserve"> styles) are explicitly rejected to prevent inflating heading counts.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Code blocks: monospace font on any run, OR style name containing "code"/"preformatted", OR content shape (CLI hints like </w:t>
      </w:r>
      <w:r>
        <w:rPr>
          <w:rStyle w:val="VerbatimChar"/>
        </w:rPr>
        <w:t>exaware#</w:t>
      </w:r>
      <w:r>
        <w:rPr/>
        <w:t xml:space="preserve">, </w:t>
      </w:r>
      <w:r>
        <w:rPr>
          <w:rStyle w:val="VerbatimChar"/>
        </w:rPr>
        <w:t>(config)#</w:t>
      </w:r>
      <w:r>
        <w:rPr/>
        <w:t xml:space="preserve">, lone </w:t>
      </w:r>
      <w:r>
        <w:rPr>
          <w:rStyle w:val="VerbatimChar"/>
        </w:rPr>
        <w:t>!</w:t>
      </w:r>
      <w:r>
        <w:rPr/>
        <w:t xml:space="preserve">, lone </w:t>
      </w:r>
      <w:r>
        <w:rPr>
          <w:rStyle w:val="VerbatimChar"/>
        </w:rPr>
        <w:t>config</w:t>
      </w:r>
      <w:r>
        <w:rPr/>
        <w:t>). Adjacent code paragraphs are coalesced into a single block.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Tables: walk the underlying </w:t>
      </w:r>
      <w:r>
        <w:rPr>
          <w:rStyle w:val="VerbatimChar"/>
        </w:rPr>
        <w:t>&lt;w:tbl&gt;</w:t>
      </w:r>
      <w:r>
        <w:rPr/>
        <w:t xml:space="preserve"> XML directly. Each </w:t>
      </w:r>
      <w:r>
        <w:rPr>
          <w:rStyle w:val="VerbatimChar"/>
        </w:rPr>
        <w:t>&lt;w:tc&gt;</w:t>
      </w:r>
      <w:r>
        <w:rPr/>
        <w:t xml:space="preserve"> in document order is exactly one cell. Avoids </w:t>
      </w:r>
      <w:r>
        <w:rPr>
          <w:rStyle w:val="VerbatimChar"/>
        </w:rPr>
        <w:t>python-docx</w:t>
      </w:r>
      <w:r>
        <w:rPr/>
        <w:t xml:space="preserve">'s </w:t>
      </w:r>
      <w:r>
        <w:rPr>
          <w:rStyle w:val="VerbatimChar"/>
        </w:rPr>
        <w:t>r.cells</w:t>
      </w:r>
      <w:r>
        <w:rPr/>
        <w:t xml:space="preserve"> which repeats merged cells across grid positions and forced non-deterministic dedup.</w:t>
      </w:r>
      <w:bookmarkEnd w:id="9"/>
    </w:p>
    <w:p>
      <w:pPr>
        <w:pStyle w:val="Heading3"/>
        <w:rPr/>
      </w:pPr>
      <w:bookmarkStart w:id="10" w:name="X14f5c6e0c0cc10bed84c5705b0e9fb8a31121c8"/>
      <w:r>
        <w:rPr/>
        <w:t>3.2 PDF</w:t>
      </w:r>
    </w:p>
    <w:p>
      <w:pPr>
        <w:pStyle w:val="Compact"/>
        <w:numPr>
          <w:ilvl w:val="0"/>
          <w:numId w:val="21"/>
        </w:numPr>
        <w:rPr/>
      </w:pPr>
      <w:r>
        <w:rPr/>
        <w:t>Body font size = the most common rounded character size; anything larger is a heading candidate.</w:t>
      </w:r>
    </w:p>
    <w:p>
      <w:pPr>
        <w:pStyle w:val="Compact"/>
        <w:numPr>
          <w:ilvl w:val="0"/>
          <w:numId w:val="22"/>
        </w:numPr>
        <w:rPr/>
      </w:pPr>
      <w:r>
        <w:rPr/>
        <w:t>Heading level estimated from size delta (≥6 → L1, ≥4 → L2, ≥2 → L3).</w:t>
      </w:r>
    </w:p>
    <w:p>
      <w:pPr>
        <w:pStyle w:val="Compact"/>
        <w:numPr>
          <w:ilvl w:val="0"/>
          <w:numId w:val="23"/>
        </w:numPr>
        <w:rPr/>
      </w:pPr>
      <w:r>
        <w:rPr/>
        <w:t>Code blocks: monospace fontname share &gt; 50% per visual line.</w:t>
      </w:r>
    </w:p>
    <w:p>
      <w:pPr>
        <w:pStyle w:val="Compact"/>
        <w:numPr>
          <w:ilvl w:val="0"/>
          <w:numId w:val="24"/>
        </w:numPr>
        <w:rPr/>
      </w:pPr>
      <w:r>
        <w:rPr/>
        <w:t>Repeating page-header/footer lines stripped (lines appearing in same band on &gt; 50% of pages).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Tables: </w:t>
      </w:r>
      <w:r>
        <w:rPr>
          <w:rStyle w:val="VerbatimChar"/>
        </w:rPr>
        <w:t>page.find_tables()</w:t>
      </w:r>
      <w:r>
        <w:rPr/>
        <w:t xml:space="preserve"> (lattice + stream); cell content normalized.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Empty text layer → </w:t>
      </w:r>
      <w:r>
        <w:rPr>
          <w:rStyle w:val="VerbatimChar"/>
        </w:rPr>
        <w:t>UnsupportedScannedPDFError</w:t>
      </w:r>
      <w:r>
        <w:rPr/>
        <w:t xml:space="preserve"> (no OCR in M1).</w:t>
      </w:r>
      <w:bookmarkEnd w:id="10"/>
    </w:p>
    <w:p>
      <w:pPr>
        <w:pStyle w:val="Heading3"/>
        <w:rPr/>
      </w:pPr>
      <w:bookmarkStart w:id="11" w:name="X5c0028ce9f118076d278abda62f7b8723cda607"/>
      <w:bookmarkEnd w:id="11"/>
      <w:r>
        <w:rPr/>
        <w:t>3.3 TXT</w:t>
      </w:r>
    </w:p>
    <w:p>
      <w:pPr>
        <w:pStyle w:val="Compact"/>
        <w:numPr>
          <w:ilvl w:val="0"/>
          <w:numId w:val="27"/>
        </w:numPr>
        <w:rPr/>
      </w:pPr>
      <w:r>
        <w:rPr/>
        <w:t>Decode as UTF-8 (BOM-aware), fall back to latin-1.</w:t>
      </w:r>
    </w:p>
    <w:p>
      <w:pPr>
        <w:pStyle w:val="Compact"/>
        <w:numPr>
          <w:ilvl w:val="0"/>
          <w:numId w:val="28"/>
        </w:numPr>
        <w:rPr/>
      </w:pPr>
      <w:r>
        <w:rPr/>
        <w:t>Heading priority: setext (</w:t>
      </w:r>
      <w:r>
        <w:rPr>
          <w:rStyle w:val="VerbatimChar"/>
        </w:rPr>
        <w:t>====</w:t>
      </w:r>
      <w:r>
        <w:rPr/>
        <w:t>/</w:t>
      </w:r>
      <w:r>
        <w:rPr>
          <w:rStyle w:val="VerbatimChar"/>
        </w:rPr>
        <w:t>----</w:t>
      </w:r>
      <w:r>
        <w:rPr/>
        <w:t xml:space="preserve">) → markdown </w:t>
      </w:r>
      <w:r>
        <w:rPr>
          <w:rStyle w:val="VerbatimChar"/>
        </w:rPr>
        <w:t>## title</w:t>
      </w:r>
      <w:r>
        <w:rPr/>
        <w:t xml:space="preserve"> → RFC numbered (</w:t>
      </w:r>
      <w:r>
        <w:rPr>
          <w:rStyle w:val="VerbatimChar"/>
        </w:rPr>
        <w:t>2.3.1.  Title</w:t>
      </w:r>
      <w:r>
        <w:rPr/>
        <w:t>) → ALL-CAPS line.</w:t>
      </w:r>
    </w:p>
    <w:p>
      <w:pPr>
        <w:pStyle w:val="Compact"/>
        <w:numPr>
          <w:ilvl w:val="0"/>
          <w:numId w:val="29"/>
        </w:numPr>
        <w:rPr/>
      </w:pPr>
      <w:r>
        <w:rPr/>
        <w:t>Code blocks: indented (≥4 spaces) or fenced (</w:t>
      </w:r>
      <w:r>
        <w:rPr>
          <w:rStyle w:val="VerbatimChar"/>
        </w:rPr>
        <w:t>```</w:t>
      </w:r>
      <w:r>
        <w:rPr/>
        <w:t>).</w:t>
      </w:r>
    </w:p>
    <w:p>
      <w:pPr>
        <w:pStyle w:val="Compact"/>
        <w:numPr>
          <w:ilvl w:val="0"/>
          <w:numId w:val="30"/>
        </w:numPr>
        <w:rPr/>
      </w:pPr>
      <w:r>
        <w:rPr/>
        <w:t>Tables not parsed in M1 (RFC ASCII art needs custom heuristics; deferred).</w:t>
      </w:r>
    </w:p>
    <w:p>
      <w:pPr>
        <w:pStyle w:val="Normal"/>
        <w:rPr/>
      </w:pPr>
      <w:r>
        <w:rPr/>
      </w:r>
      <w:bookmarkStart w:id="12" w:name="Xcb281e2231bb5b82794af2edbf9a197c7debd9f"/>
      <w:bookmarkStart w:id="13" w:name="X5c0028ce9f118076d278abda62f7b8723cda607"/>
      <w:bookmarkStart w:id="14" w:name="Xcb281e2231bb5b82794af2edbf9a197c7debd9f"/>
      <w:bookmarkStart w:id="15" w:name="X5c0028ce9f118076d278abda62f7b8723cda607"/>
      <w:bookmarkEnd w:id="14"/>
      <w:bookmarkEnd w:id="15"/>
    </w:p>
    <w:p>
      <w:pPr>
        <w:pStyle w:val="Normal"/>
        <w:rPr/>
      </w:pPr>
      <w:bookmarkStart w:id="16" w:name="X5e81756e1cf7358fe044d0c8db2d2ce5647b94e"/>
      <w:bookmarkEnd w:id="16"/>
      <w:r>
        <w:rPr/>
        <w:t>4. Verification framework (the test framework)</w:t>
      </w:r>
    </w:p>
    <w:p>
      <w:pPr>
        <w:pStyle w:val="FirstParagraph"/>
        <w:rPr/>
      </w:pPr>
      <w:r>
        <w:rPr/>
        <w:t xml:space="preserve">The framework serves </w:t>
      </w:r>
      <w:r>
        <w:rPr>
          <w:b/>
          <w:bCs/>
        </w:rPr>
        <w:t>two</w:t>
      </w:r>
      <w:r>
        <w:rPr/>
        <w:t xml:space="preserve"> audiences with one stack: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Project owner</w:t>
      </w:r>
      <w:r>
        <w:rPr/>
        <w:t xml:space="preserve"> — gets green/red signal that M1 meets acceptance.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Future contributor</w:t>
      </w:r>
      <w:r>
        <w:rPr/>
        <w:t xml:space="preserve"> — gets regression detection: any drift from committed goldens fails the build.</w:t>
      </w:r>
    </w:p>
    <w:p>
      <w:pPr>
        <w:pStyle w:val="Heading3"/>
        <w:rPr/>
      </w:pPr>
      <w:r>
        <w:rPr/>
        <w:t>4.1 Layers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Layer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Tool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tests/test_parsers.py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test_dispatch.py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,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test_cli.py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Per-component behavior, fast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tests/test_edge_cases.py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Tier-C files raise the typed errors declared in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MANIFEST.tsv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Determinism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tests/test_determinism.py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 runs byte-identical for every Tier-A/B doc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Format parity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tests/test_parity.py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RFC 9785 word-Jaccard ≥ 0.90 across DOCX/TXT/PDF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tests/test_regression.py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Normalized IR byte-identical to committed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tests/golden/ir/*.json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Acceptance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scripts/score.py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 M1 numeric metrics in one scorecard</w:t>
            </w:r>
            <w:bookmarkStart w:id="17" w:name="X4c95c47d300d7bf4d1b2edf896e91d609ed3b0c"/>
            <w:bookmarkEnd w:id="17"/>
          </w:p>
        </w:tc>
      </w:tr>
    </w:tbl>
    <w:p>
      <w:pPr>
        <w:pStyle w:val="Heading3"/>
        <w:rPr/>
      </w:pPr>
      <w:r>
        <w:rPr/>
        <w:t>4.2 The unified entrypoint</w:t>
      </w:r>
    </w:p>
    <w:p>
      <w:pPr>
        <w:pStyle w:val="FirstParagraph"/>
        <w:rPr/>
      </w:pPr>
      <w:r>
        <w:rPr>
          <w:rStyle w:val="VerbatimChar"/>
        </w:rPr>
        <w:t>./modular_tools.sh</w:t>
      </w:r>
      <w:r>
        <w:rPr/>
        <w:t xml:space="preserve"> is the swiss knife inspired by </w:t>
      </w:r>
      <w:r>
        <w:rPr>
          <w:rStyle w:val="VerbatimChar"/>
        </w:rPr>
        <w:t>/home/ilan/work/uvision/track/modular_tools.sh</w:t>
      </w:r>
      <w:r>
        <w:rPr/>
        <w:t>. Single dispatcher, grouped subcommands, color-coded output. Key entries:</w:t>
      </w:r>
    </w:p>
    <w:p>
      <w:pPr>
        <w:pStyle w:val="Compact"/>
        <w:numPr>
          <w:ilvl w:val="0"/>
          <w:numId w:val="33"/>
        </w:numPr>
        <w:rPr/>
      </w:pPr>
      <w:r>
        <w:rPr>
          <w:rStyle w:val="VerbatimChar"/>
        </w:rPr>
        <w:t>verify</w:t>
      </w:r>
      <w:r>
        <w:rPr/>
        <w:t xml:space="preserve"> — runs the M1 acceptance scorecard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regression</w:t>
      </w:r>
      <w:r>
        <w:rPr/>
        <w:t xml:space="preserve"> — pytest + golden drift in one shot</w:t>
      </w:r>
    </w:p>
    <w:p>
      <w:pPr>
        <w:pStyle w:val="Compact"/>
        <w:numPr>
          <w:ilvl w:val="0"/>
          <w:numId w:val="35"/>
        </w:numPr>
        <w:rPr/>
      </w:pPr>
      <w:r>
        <w:rPr>
          <w:rStyle w:val="VerbatimChar"/>
        </w:rPr>
        <w:t>e2e</w:t>
      </w:r>
      <w:r>
        <w:rPr/>
        <w:t xml:space="preserve"> — env check + corpus check + tests + scorecard</w:t>
      </w:r>
    </w:p>
    <w:p>
      <w:pPr>
        <w:pStyle w:val="Compact"/>
        <w:numPr>
          <w:ilvl w:val="0"/>
          <w:numId w:val="36"/>
        </w:numPr>
        <w:rPr/>
      </w:pPr>
      <w:r>
        <w:rPr>
          <w:rStyle w:val="VerbatimChar"/>
        </w:rPr>
        <w:t>golden_diff</w:t>
      </w:r>
      <w:r>
        <w:rPr/>
        <w:t xml:space="preserve"> / </w:t>
      </w:r>
      <w:r>
        <w:rPr>
          <w:rStyle w:val="VerbatimChar"/>
        </w:rPr>
        <w:t>golden_update</w:t>
      </w:r>
      <w:r>
        <w:rPr/>
        <w:t xml:space="preserve"> — manage the regression baseline</w:t>
      </w:r>
    </w:p>
    <w:p>
      <w:pPr>
        <w:pStyle w:val="FirstParagraph"/>
        <w:rPr/>
      </w:pPr>
      <w:r>
        <w:rPr/>
        <w:t xml:space="preserve">The </w:t>
      </w:r>
      <w:r>
        <w:rPr>
          <w:rStyle w:val="VerbatimChar"/>
        </w:rPr>
        <w:t>Makefile</w:t>
      </w:r>
      <w:r>
        <w:rPr/>
        <w:t xml:space="preserve"> defers to the same scripts so either entrypoint works.</w:t>
      </w:r>
    </w:p>
    <w:p>
      <w:pPr>
        <w:pStyle w:val="Heading3"/>
        <w:rPr/>
      </w:pPr>
      <w:bookmarkStart w:id="18" w:name="X05895a5509419e602f85084338d1a551940f28f"/>
      <w:r>
        <w:rPr/>
        <w:t>4.3 Goldens — the regression contract</w:t>
      </w:r>
    </w:p>
    <w:p>
      <w:pPr>
        <w:pStyle w:val="FirstParagraph"/>
        <w:rPr/>
      </w:pPr>
      <w:r>
        <w:rPr/>
        <w:t xml:space="preserve">Goldens live under </w:t>
      </w:r>
      <w:r>
        <w:rPr>
          <w:rStyle w:val="VerbatimChar"/>
        </w:rPr>
        <w:t>tests/golden/</w:t>
      </w:r>
      <w:r>
        <w:rPr/>
        <w:t>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File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Role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headings.json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Per-doc list of expected heading texts (initially seeded from parser output; meant to be human-pruned before sign-off).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cli_blocks.json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Curated list of CLI signature substrings that must appear verbatim in the EVPN spec's IR.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tables.json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Per-doc minimum table count.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ir/&lt;doc&gt;.json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Full normalized IR per tracked doc — the regression baseline.</w:t>
            </w:r>
          </w:p>
        </w:tc>
      </w:tr>
    </w:tbl>
    <w:p>
      <w:pPr>
        <w:pStyle w:val="BodyText"/>
        <w:rPr/>
      </w:pPr>
      <w:r>
        <w:rPr/>
        <w:t xml:space="preserve">Updating a golden = an explicit decision to redefine "correct." The diff is reviewed before commit. </w:t>
      </w:r>
      <w:r>
        <w:rPr>
          <w:rStyle w:val="VerbatimChar"/>
        </w:rPr>
        <w:t>./modular_tools.sh golden_diff</w:t>
      </w:r>
      <w:r>
        <w:rPr/>
        <w:t xml:space="preserve"> shows the pending change.</w:t>
      </w:r>
      <w:bookmarkEnd w:id="18"/>
    </w:p>
    <w:p>
      <w:pPr>
        <w:pStyle w:val="Heading3"/>
        <w:rPr/>
      </w:pPr>
      <w:bookmarkStart w:id="19" w:name="X263c0ea8d3e11d348fa5111df4e0fb5db281d88"/>
      <w:bookmarkEnd w:id="19"/>
      <w:r>
        <w:rPr/>
        <w:t>4.4 Honesty about what's measured</w:t>
      </w:r>
    </w:p>
    <w:p>
      <w:pPr>
        <w:pStyle w:val="Compact"/>
        <w:numPr>
          <w:ilvl w:val="0"/>
          <w:numId w:val="37"/>
        </w:numPr>
        <w:rPr/>
      </w:pPr>
      <w:r>
        <w:rPr>
          <w:rStyle w:val="VerbatimChar"/>
        </w:rPr>
        <w:t>cli_block_preservation</w:t>
      </w:r>
      <w:r>
        <w:rPr/>
        <w:t xml:space="preserve">, </w:t>
      </w:r>
      <w:r>
        <w:rPr>
          <w:rStyle w:val="VerbatimChar"/>
        </w:rPr>
        <w:t>format_parity</w:t>
      </w:r>
      <w:r>
        <w:rPr/>
        <w:t xml:space="preserve">, </w:t>
      </w:r>
      <w:r>
        <w:rPr>
          <w:rStyle w:val="VerbatimChar"/>
        </w:rPr>
        <w:t>determinism</w:t>
      </w:r>
      <w:r>
        <w:rPr/>
        <w:t xml:space="preserve">, </w:t>
      </w:r>
      <w:r>
        <w:rPr>
          <w:rStyle w:val="VerbatimChar"/>
        </w:rPr>
        <w:t>edge_cases</w:t>
      </w:r>
      <w:r>
        <w:rPr/>
        <w:t xml:space="preserve">, </w:t>
      </w:r>
      <w:r>
        <w:rPr>
          <w:rStyle w:val="VerbatimChar"/>
        </w:rPr>
        <w:t>performance</w:t>
      </w:r>
      <w:r>
        <w:rPr/>
        <w:t xml:space="preserve">, </w:t>
      </w:r>
      <w:r>
        <w:rPr>
          <w:rStyle w:val="VerbatimChar"/>
        </w:rPr>
        <w:t>no_unhandled_exceptions</w:t>
      </w:r>
      <w:r>
        <w:rPr/>
        <w:t xml:space="preserve"> are absolute checks. Passing them is real evidence.</w:t>
      </w:r>
    </w:p>
    <w:p>
      <w:pPr>
        <w:pStyle w:val="Compact"/>
        <w:numPr>
          <w:ilvl w:val="0"/>
          <w:numId w:val="38"/>
        </w:numPr>
        <w:rPr/>
      </w:pPr>
      <w:r>
        <w:rPr>
          <w:rStyle w:val="VerbatimChar"/>
        </w:rPr>
        <w:t>heading_recovery</w:t>
      </w:r>
      <w:r>
        <w:rPr/>
        <w:t xml:space="preserve">, </w:t>
      </w:r>
      <w:r>
        <w:rPr>
          <w:rStyle w:val="VerbatimChar"/>
        </w:rPr>
        <w:t>table_preservation</w:t>
      </w:r>
      <w:r>
        <w:rPr/>
        <w:t xml:space="preserve"> are </w:t>
      </w:r>
      <w:r>
        <w:rPr>
          <w:i/>
          <w:iCs/>
        </w:rPr>
        <w:t>regression</w:t>
      </w:r>
      <w:r>
        <w:rPr/>
        <w:t xml:space="preserve"> gates against goldens generated from the parser. Their value is preventing future drift, not absolute correctness on day 1.</w:t>
      </w:r>
    </w:p>
    <w:p>
      <w:pPr>
        <w:pStyle w:val="Compact"/>
        <w:numPr>
          <w:ilvl w:val="0"/>
          <w:numId w:val="39"/>
        </w:numPr>
        <w:rPr/>
      </w:pPr>
      <w:r>
        <w:rPr>
          <w:rStyle w:val="VerbatimChar"/>
        </w:rPr>
        <w:t>anchor_detection</w:t>
      </w:r>
      <w:r>
        <w:rPr/>
        <w:t xml:space="preserve"> is </w:t>
      </w:r>
      <w:r>
        <w:rPr>
          <w:b/>
          <w:bCs/>
        </w:rPr>
        <w:t>reported, not gated</w:t>
      </w:r>
      <w:r>
        <w:rPr/>
        <w:t xml:space="preserve"> — it's an M2 metric, here for visibility.</w:t>
      </w:r>
    </w:p>
    <w:p>
      <w:pPr>
        <w:pStyle w:val="FirstParagraph"/>
        <w:rPr/>
      </w:pPr>
      <w:r>
        <w:rPr/>
      </w:r>
    </w:p>
    <w:p>
      <w:pPr>
        <w:pStyle w:val="Normal"/>
        <w:rPr/>
      </w:pPr>
      <w:r>
        <w:rPr/>
      </w:r>
      <w:bookmarkStart w:id="20" w:name="X5e81756e1cf7358fe044d0c8db2d2ce5647b94e"/>
      <w:bookmarkStart w:id="21" w:name="X263c0ea8d3e11d348fa5111df4e0fb5db281d88"/>
      <w:bookmarkStart w:id="22" w:name="X5e81756e1cf7358fe044d0c8db2d2ce5647b94e"/>
      <w:bookmarkStart w:id="23" w:name="X263c0ea8d3e11d348fa5111df4e0fb5db281d88"/>
      <w:bookmarkEnd w:id="22"/>
      <w:bookmarkEnd w:id="23"/>
    </w:p>
    <w:p>
      <w:pPr>
        <w:pStyle w:val="Normal"/>
        <w:rPr/>
      </w:pPr>
      <w:bookmarkStart w:id="24" w:name="X062a33cf3a20cf6ec38137be9aa615a818acfeb"/>
      <w:r>
        <w:rPr/>
        <w:t>5. Risks and known limitations (M1)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#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Risk / limitation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Mitigation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Real-world Exaware PDFs (multi-column, embedded fonts) may produce different parsing quality than the RFC 9785 PDF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Documented as M1 known constraint; revisit when Exaware sends a PDF sample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Vertical-merge (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vMerge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) cells in DOCX tables count as one cell per row instead of spanning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rowspan=1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recorded; deferred to M2 if downstream consumers need 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TXT table parsing not implemented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RFC ASCII tables require custom heuristics; deferred. RFC headings work.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Heading recovery and table preservation gold standards are seeded from parser output, not human-curated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Documented above; Exaware spot-check provides the absolute correctness signal at end of W2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Style-variance across Exaware specs unknown (only EVPN spec validated)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Stress-test in M2 with 2–3 more spec samples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Pydantic 2 + python-docx incompatibility at major version bumps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Versions pinned in pyproject.toml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Host environment leakage (ROS2/system pytest plugins)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PYTEST_DISABLE_PLUGIN_AUTOLOAD=1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set in Makefile and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modular_tools.sh</w:t>
            </w:r>
          </w:p>
        </w:tc>
      </w:tr>
    </w:tbl>
    <w:p>
      <w:pPr>
        <w:pStyle w:val="Normal"/>
        <w:rPr/>
      </w:pPr>
      <w:bookmarkStart w:id="25" w:name="X062a33cf3a20cf6ec38137be9aa615a818acfeb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2"/>
        <w:rPr/>
      </w:pPr>
      <w:bookmarkStart w:id="26" w:name="X2dc09e1d60ae0cabe0592dff9173a1d1076d078"/>
      <w:r>
        <w:rPr/>
        <w:t>6. Open questions to resolve before M2 / M3</w:t>
      </w:r>
    </w:p>
    <w:p>
      <w:pPr>
        <w:pStyle w:val="FirstParagraph"/>
        <w:rPr/>
      </w:pPr>
      <w:r>
        <w:rPr/>
        <w:t xml:space="preserve">These are </w:t>
      </w:r>
      <w:r>
        <w:rPr>
          <w:b/>
          <w:bCs/>
        </w:rPr>
        <w:t>not</w:t>
      </w:r>
      <w:r>
        <w:rPr/>
        <w:t xml:space="preserve"> M1 blockers. Listed here so M2 doesn't start cold. Updated for SOW PQ4476E.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Question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Owner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2–3 additional Exaware spec samples to stress the requirement extractor across product lines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Codevalue → 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Canonical regex(es) for Exaware requirement IDs across product lines (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EVPNS-REQ#NN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is one of many)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What does the "dirty queue" workflow look like — how does Exaware select tests? UI? CLI flag?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Cloud LLM (OpenAI / Anthropic Claude) acceptable per SOW deployment note; confirm Claude API key budget + rate limit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Multi-router topology format — how is router topology described in inputs vs the plan output?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Two human-written reference test plans for AI quality benchmarking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zh-CN" w:bidi="ar-SA"/>
              </w:rPr>
              <w:t>IXIA Router Simulator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: API to integrate with (per SOW §3 the details are to be defined "in collaboration with Exaware automation lead during M1–M2")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zh-CN" w:bidi="ar-SA"/>
              </w:rPr>
              <w:t>JSystem framework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: version, conventions, existing test class hierarchy that generated tests should plug into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 automation lead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zh-CN" w:bidi="ar-SA"/>
              </w:rPr>
              <w:t>Neighboring Router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test fixtures: mocked? real device? containerlab profile?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On-premises hardware ready (HP Z2 Mini per SOW BOM, customer-purchased)?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User documentation language preferences (English only / English + Hebrew)?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Exaware</w:t>
            </w:r>
          </w:p>
        </w:tc>
      </w:tr>
    </w:tbl>
    <w:p>
      <w:pPr>
        <w:pStyle w:val="Normal"/>
        <w:rPr/>
      </w:pPr>
      <w:bookmarkStart w:id="27" w:name="X2dc09e1d60ae0cabe0592dff9173a1d1076d07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28" w:name="Xb7debefb64fc7f6258503acc01265951acab17f"/>
      <w:bookmarkEnd w:id="28"/>
      <w:r>
        <w:rPr/>
        <w:t>8. Sign-off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M1 numeric acceptance:</w:t>
      </w:r>
      <w:r>
        <w:rPr/>
        <w:t xml:space="preserve"> </w:t>
      </w:r>
      <w:r>
        <w:rPr>
          <w:rStyle w:val="VerbatimChar"/>
        </w:rPr>
        <w:t>./modular_tools.sh run-tests</w:t>
      </w:r>
      <w:r>
        <w:rPr/>
        <w:t xml:space="preserve"> → all </w:t>
      </w:r>
      <w:r>
        <w:rPr>
          <w:rStyle w:val="VerbatimChar"/>
        </w:rPr>
        <w:t>[PASS]</w:t>
      </w:r>
      <w:r>
        <w:rPr/>
        <w:t xml:space="preserve"> rows in the HTML report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M1 deliverable artifact:</w:t>
      </w:r>
      <w:r>
        <w:rPr/>
        <w:t xml:space="preserve"> </w:t>
      </w:r>
      <w:r>
        <w:rPr>
          <w:rStyle w:val="VerbatimChar"/>
        </w:rPr>
        <w:t>plans/EVPN_System_Specification_1.00.xlsx</w:t>
      </w:r>
      <w:r>
        <w:rPr/>
        <w:t xml:space="preserve"> (and other Word feature specs)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Regression baseline locked:</w:t>
      </w:r>
      <w:r>
        <w:rPr/>
        <w:t xml:space="preserve"> </w:t>
      </w:r>
      <w:r>
        <w:rPr>
          <w:rStyle w:val="VerbatimChar"/>
        </w:rPr>
        <w:t>tests/golden/</w:t>
      </w:r>
      <w:r>
        <w:rPr/>
        <w:t xml:space="preserve"> committed; future drift detected automatically</w:t>
      </w:r>
    </w:p>
    <w:p>
      <w:pPr>
        <w:pStyle w:val="FirstParagraph"/>
        <w:spacing w:before="180" w:after="180"/>
        <w:rPr/>
      </w:pPr>
      <w:r>
        <w:rPr/>
      </w:r>
      <w:bookmarkStart w:id="29" w:name="technical-design-document--ate--m1"/>
      <w:bookmarkStart w:id="30" w:name="Xb7debefb64fc7f6258503acc01265951acab17f"/>
      <w:bookmarkStart w:id="31" w:name="technical-design-document--ate--m1"/>
      <w:bookmarkStart w:id="32" w:name="Xb7debefb64fc7f6258503acc01265951acab17f"/>
      <w:bookmarkEnd w:id="31"/>
      <w:bookmarkEnd w:id="32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  <w:lvlOverride w:ilvl="0">
      <w:startOverride w:val="1"/>
    </w:lvlOverride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13</Pages>
  <Words>1742</Words>
  <Characters>10690</Characters>
  <CharactersWithSpaces>12215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2026-05-05T07:43:38Z</dcterms:created>
  <dc:creator/>
  <dc:description/>
  <dc:language>en-US</dc:language>
  <cp:lastModifiedBy/>
  <dcterms:modified xsi:type="dcterms:W3CDTF">2026-05-05T10:54:31Z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