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" w:name="technical-design-document--ate--m1"/>
    <w:p>
      <w:pPr>
        <w:pStyle w:val="Heading1"/>
      </w:pPr>
      <w:r>
        <w:t xml:space="preserve">Technical Design Document — ATE / M1</w:t>
      </w:r>
    </w:p>
    <w:p>
      <w:pPr>
        <w:pStyle w:val="BodyText"/>
      </w:pPr>
      <w:r>
        <w:rPr>
          <w:b/>
        </w:rPr>
        <w:t xml:space="preserve">Document version: </w:t>
      </w:r>
      <w:r>
        <w:t>last updated 2026-07-13 against git commit 218c54a (“Eyal respin follow-up: slim repeated flow bodies; revert scale-number edits”). Re-stamp on every revision; the deliverable pipeline is at this repo state.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AI-Assisted Test Plan &amp; Automation Skeleton Generator (POC) — Codevalue PQ 4476 for Exaware</w:t>
      </w:r>
      <w:r>
        <w:t xml:space="preserve"> </w:t>
      </w:r>
      <w:r>
        <w:rPr>
          <w:b/>
          <w:bCs/>
        </w:rPr>
        <w:t xml:space="preserve">Current SOW:</w:t>
      </w:r>
      <w:r>
        <w:t xml:space="preserve"> </w:t>
      </w:r>
      <w:r>
        <w:rPr>
          <w:rStyle w:val="VerbatimChar"/>
        </w:rPr>
        <w:t xml:space="preserve">../PQ4476E.pdf</w:t>
      </w:r>
      <w:r>
        <w:t xml:space="preserve"> </w:t>
      </w:r>
      <w:r>
        <w:rPr>
          <w:b/>
          <w:bCs/>
        </w:rPr>
        <w:t xml:space="preserve">Milestone:</w:t>
      </w:r>
      <w:r>
        <w:t xml:space="preserve"> </w:t>
      </w:r>
      <w:r>
        <w:t xml:space="preserve">M1 —</w:t>
      </w:r>
      <w:r>
        <w:t xml:space="preserve"> </w:t>
      </w:r>
      <w:r>
        <w:rPr>
          <w:b/>
          <w:bCs/>
        </w:rPr>
        <w:t xml:space="preserve">Test Plan Generation</w:t>
      </w:r>
      <w:r>
        <w:t xml:space="preserve"> </w:t>
      </w:r>
      <w:r>
        <w:t xml:space="preserve">(Weeks 1–2, 15% of contract)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M1 deliverable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Project owner (Codevalue), reviewer (Exaware)</w:t>
      </w:r>
    </w:p>
    <w:p>
      <w:r>
        <w:pict>
          <v:rect style="width:0;height:1.5pt" o:hralign="center" o:hrstd="t" o:hr="t"/>
        </w:pict>
      </w:r>
    </w:p>
    <w:bookmarkStart w:id="12" w:name="X0d9dc283b645a13cffe70ae7cbafb1b93bf5870"/>
    <w:p>
      <w:pPr>
        <w:pStyle w:val="Heading2"/>
      </w:pPr>
      <w:r>
        <w:t xml:space="preserve">1. Executive summary (read this first)</w:t>
      </w:r>
    </w:p>
    <w:p>
      <w:pPr>
        <w:pStyle w:val="FirstParagraph"/>
      </w:pPr>
      <w:r>
        <w:t xml:space="preserve">Per SOW PQ4476E §5, M1 is</w:t>
      </w:r>
      <w:r>
        <w:t xml:space="preserve"> </w:t>
      </w:r>
      <w:r>
        <w:rPr>
          <w:b/>
          <w:bCs/>
        </w:rPr>
        <w:t xml:space="preserve">"Test Plan Generation"</w:t>
      </w:r>
      <w:r>
        <w:t xml:space="preserve"> </w:t>
      </w:r>
      <w:r>
        <w:t xml:space="preserve">with the following deliverables:</w:t>
      </w:r>
    </w:p>
    <w:p>
      <w:pPr>
        <w:pStyle w:val="Compact"/>
        <w:numPr>
          <w:ilvl w:val="0"/>
          <w:numId w:val="1001"/>
        </w:numPr>
      </w:pPr>
      <w:r>
        <w:t xml:space="preserve">Test plan generation from input documents (2 Word files + RFC)</w:t>
      </w:r>
    </w:p>
    <w:p>
      <w:pPr>
        <w:pStyle w:val="Compact"/>
        <w:numPr>
          <w:ilvl w:val="0"/>
          <w:numId w:val="1001"/>
        </w:numPr>
      </w:pPr>
      <w:r>
        <w:t xml:space="preserve">Development environment</w:t>
      </w:r>
    </w:p>
    <w:p>
      <w:pPr>
        <w:pStyle w:val="Compact"/>
        <w:numPr>
          <w:ilvl w:val="0"/>
          <w:numId w:val="1001"/>
        </w:numPr>
      </w:pPr>
      <w:r>
        <w:t xml:space="preserve">Document parser (PDF, DOCX, TXT)</w:t>
      </w:r>
    </w:p>
    <w:p>
      <w:pPr>
        <w:pStyle w:val="Compact"/>
        <w:numPr>
          <w:ilvl w:val="0"/>
          <w:numId w:val="1001"/>
        </w:numPr>
      </w:pPr>
      <w:r>
        <w:t xml:space="preserve">Basic text extraction working</w:t>
      </w:r>
    </w:p>
    <w:p>
      <w:pPr>
        <w:pStyle w:val="Compact"/>
        <w:numPr>
          <w:ilvl w:val="0"/>
          <w:numId w:val="1001"/>
        </w:numPr>
      </w:pPr>
      <w:r>
        <w:t xml:space="preserve">Technical design document (this file)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Deliverable artifact</w:t>
      </w:r>
      <w:r>
        <w:t xml:space="preserve">: Test Plan (single router) xlsx for Exaware review/approval</w:t>
      </w:r>
    </w:p>
    <w:p>
      <w:pPr>
        <w:pStyle w:val="FirstParagraph"/>
      </w:pPr>
      <w:r>
        <w:t xml:space="preserve">The implementation pipeline:</w:t>
      </w:r>
    </w:p>
    <w:p>
      <w:pPr>
        <w:pStyle w:val="BodyText"/>
      </w:pPr>
      <w:r>
        <w:drawing>
          <wp:inline>
            <wp:extent cx="5334000" cy="630936"/>
            <wp:effectExtent b="0" l="0" r="0" t="0"/>
            <wp:docPr descr="Figure 1 — End-to-end pipeline (M1)." title="" id="10" name="Picture"/>
            <a:graphic>
              <a:graphicData uri="http://schemas.openxmlformats.org/drawingml/2006/picture">
                <pic:pic>
                  <pic:nvPicPr>
                    <pic:cNvPr descr="diagrams/pipelin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0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{width=6.5in}</w:t>
      </w:r>
    </w:p>
    <w:p>
      <w:pPr>
        <w:pStyle w:val="BodyText"/>
      </w:pPr>
      <w:r>
        <w:rPr>
          <w:b/>
          <w:bCs/>
        </w:rPr>
        <w:t xml:space="preserve">One command</w:t>
      </w:r>
      <w:r>
        <w:t xml:space="preserve"> </w:t>
      </w:r>
      <w:r>
        <w:t xml:space="preserve">for the project owner:</w:t>
      </w:r>
    </w:p>
    <w:p>
      <w:pPr>
        <w:pStyle w:val="SourceCode"/>
      </w:pPr>
      <w:r>
        <w:rPr>
          <w:rStyle w:val="VerbatimChar"/>
        </w:rPr>
        <w:t xml:space="preserve">./modular_tools.sh run-tests</w:t>
      </w:r>
    </w:p>
    <w:p>
      <w:pPr>
        <w:pStyle w:val="FirstParagraph"/>
      </w:pPr>
      <w:r>
        <w:t xml:space="preserve">Runs every gate (env, corpus, pytest, coverage, scorecard, requirements traceability, lint, performance) and writes a single HTML report.</w:t>
      </w:r>
    </w:p>
    <w:p>
      <w:pPr>
        <w:pStyle w:val="BodyText"/>
      </w:pPr>
      <w:r>
        <w:rPr>
          <w:b/>
          <w:bCs/>
        </w:rPr>
        <w:t xml:space="preserve">Generate the M1 deliverable</w:t>
      </w:r>
      <w:r>
        <w:t xml:space="preserve"> </w:t>
      </w:r>
      <w:r>
        <w:t xml:space="preserve">(the xlsx Exaware reviews):</w:t>
      </w:r>
    </w:p>
    <w:p>
      <w:pPr>
        <w:pStyle w:val="SourceCode"/>
      </w:pPr>
      <w:r>
        <w:rPr>
          <w:rStyle w:val="VerbatimChar"/>
        </w:rPr>
        <w:t xml:space="preserve">./modular_tools.sh plan_all       # writes plans/*.xlsx for every Word spec in references/</w:t>
      </w:r>
    </w:p>
    <w:p>
      <w:pPr>
        <w:pStyle w:val="FirstParagraph"/>
      </w:pPr>
      <w:r>
        <w:rPr>
          <w:b/>
          <w:bCs/>
        </w:rPr>
        <w:t xml:space="preserve">Out of scope (per SOW):</w:t>
      </w:r>
      <w:r>
        <w:t xml:space="preserve"> </w:t>
      </w:r>
      <w:r>
        <w:t xml:space="preserve">multi-router topologies (M3), Java/JSystem code generation (M4), IXIA + neighboring-router hooks (M4), web UI (M5).</w:t>
      </w:r>
    </w:p>
    <w:p>
      <w:pPr>
        <w:pStyle w:val="BodyText"/>
      </w:pPr>
      <w:r>
        <w:rPr>
          <w:b/>
          <w:bCs/>
        </w:rPr>
        <w:t xml:space="preserve">AI in M1</w:t>
      </w:r>
      <w:r>
        <w:t xml:space="preserve">: although the SOW puts "OpenAI/Claude API integration" formally in M3, M1 already integrates Claude (Anthropic SDK) for plan-row enrichment. The committed cache (</w:t>
      </w:r>
      <w:r>
        <w:rPr>
          <w:rStyle w:val="VerbatimChar"/>
        </w:rPr>
        <w:t xml:space="preserve">ate/planner/ai_cache.json</w:t>
      </w:r>
      <w:r>
        <w:t xml:space="preserve">) covers</w:t>
      </w:r>
      <w:r>
        <w:t xml:space="preserve"> </w:t>
      </w:r>
      <w:r>
        <w:rPr>
          <w:b/>
          <w:bCs/>
        </w:rPr>
        <w:t xml:space="preserve">100% of the EVPN System Specification 1.00 rows (382/382)</w:t>
      </w:r>
      <w:r>
        <w:t xml:space="preserve"> </w:t>
      </w:r>
      <w:r>
        <w:t xml:space="preserve">with feature-specific AI-quality content — references real CLI commands, RFC chapters, MUST statements drawn from the source spec. New specs added later are enriched on the fly when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is set. M3 then expands AI usage to multi-router topologies, prioritization, and coverage tracking per the SOW M3 deliverable list.</w:t>
      </w:r>
    </w:p>
    <w:p>
      <w:pPr>
        <w:pStyle w:val="BodyText"/>
      </w:pPr>
      <w:r>
        <w:rPr>
          <w:b/>
          <w:bCs/>
        </w:rPr>
        <w:t xml:space="preserve">Tag-applicability tightening (matrix v4)</w:t>
      </w:r>
      <w:r>
        <w:t xml:space="preserve">: per-requirement category selection is rule-based (keyword tags from</w:t>
      </w:r>
      <w:r>
        <w:t xml:space="preserve"> </w:t>
      </w:r>
      <w:r>
        <w:rPr>
          <w:rStyle w:val="VerbatimChar"/>
        </w:rPr>
        <w:t xml:space="preserve">extractor.TAG_KEYWORDS</w:t>
      </w:r>
      <w:r>
        <w:t xml:space="preserve"> </w:t>
      </w:r>
      <w:r>
        <w:t xml:space="preserve">with title-pattern lockouts in</w:t>
      </w:r>
      <w:r>
        <w:t xml:space="preserve"> </w:t>
      </w:r>
      <w:r>
        <w:rPr>
          <w:rStyle w:val="VerbatimChar"/>
        </w:rPr>
        <w:t xml:space="preserve">TAG_TITLE_LOCKOUTS</w:t>
      </w:r>
      <w:r>
        <w:t xml:space="preserve">). Scoring is title-weighted:</w:t>
      </w:r>
      <w:r>
        <w:t xml:space="preserve"> </w:t>
      </w:r>
      <w:r>
        <w:rPr>
          <w:rStyle w:val="VerbatimChar"/>
        </w:rPr>
        <w:t xml:space="preserve">score = 3 × title_keyword_hits + 1 × description_keyword_hits</w:t>
      </w:r>
      <w:r>
        <w:t xml:space="preserve">, threshold 2 (one title hit OR two distinct description hits). This eliminates the v1/v2 false positives where a single passing mention of a keyword in description (e.g. "MAC mobility flag" in REQ#280's route-format description) would falsely apply a tag like HA. Net effect: row count dropped from 543 to 382 (−30%), and the rows that remain are categorically applicable. Reviewer feedback (Q7d) refines this further in M2.</w:t>
      </w:r>
    </w:p>
    <w:p>
      <w:r>
        <w:pict>
          <v:rect style="width:0;height:1.5pt" o:hralign="center" o:hrstd="t" o:hr="t"/>
        </w:pict>
      </w:r>
    </w:p>
    <w:bookmarkEnd w:id="12"/>
    <w:bookmarkStart w:id="19" w:name="X136a724f0ad6bedecc70d52a088da11b9355002"/>
    <w:p>
      <w:pPr>
        <w:pStyle w:val="Heading2"/>
      </w:pPr>
      <w:r>
        <w:t xml:space="preserve">2. Architecture</w:t>
      </w:r>
    </w:p>
    <w:p>
      <w:pPr>
        <w:pStyle w:val="FirstParagraph"/>
      </w:pPr>
      <w:r>
        <w:drawing>
          <wp:inline>
            <wp:extent cx="5334000" cy="9448800"/>
            <wp:effectExtent b="0" l="0" r="0" t="0"/>
            <wp:docPr descr="Figure 2 — ATE component architecture. Inputs flow through the parser dispatcher into a single Pydantic IR; the planner branch (extractor → generator → AI enricher → xlsx writer) produces the M1 deliverable." title="" id="14" name="Picture"/>
            <a:graphic>
              <a:graphicData uri="http://schemas.openxmlformats.org/drawingml/2006/picture">
                <pic:pic>
                  <pic:nvPicPr>
                    <pic:cNvPr descr="diagrams/architectur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4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{width=5.0in}</w:t>
      </w:r>
    </w:p>
    <w:p>
      <w:pPr>
        <w:pStyle w:val="BodyText"/>
      </w:pPr>
      <w:r>
        <w:t xml:space="preserve">The Plan model (</w:t>
      </w:r>
      <w:r>
        <w:rPr>
          <w:rStyle w:val="VerbatimChar"/>
        </w:rPr>
        <w:t xml:space="preserve">ate.planner.model</w:t>
      </w:r>
      <w:r>
        <w:t xml:space="preserve">) is the format-neutral artifact. The M1 deliverable is</w:t>
      </w:r>
      <w:r>
        <w:t xml:space="preserve"> </w:t>
      </w:r>
      <w:r>
        <w:rPr>
          <w:b/>
          <w:bCs/>
        </w:rPr>
        <w:t xml:space="preserve">AI-enriched 100% via Claude (Anthropic)</w:t>
      </w:r>
      <w:r>
        <w:t xml:space="preserve"> </w:t>
      </w:r>
      <w:r>
        <w:t xml:space="preserve">— every plan row references real spec content (CLI commands, RFC chapters, MUST statements). The cache (</w:t>
      </w:r>
      <w:r>
        <w:rPr>
          <w:rStyle w:val="VerbatimChar"/>
        </w:rPr>
        <w:t xml:space="preserve">ate/planner/ai_cache.json</w:t>
      </w:r>
      <w:r>
        <w:t xml:space="preserve">) is committed so the deliverable is reproducible without an API key. M3 expands AI usage to multi-router topologies, prioritization, and coverage tracking per the SOW M3 deliverable list; M5's web UI reads the same Plan shape.</w:t>
      </w:r>
    </w:p>
    <w:bookmarkStart w:id="16" w:name="Xcb567e5fd0c88ed9d1148f8cd2ef56455e8c064"/>
    <w:p>
      <w:pPr>
        <w:pStyle w:val="Heading3"/>
      </w:pPr>
      <w:r>
        <w:t xml:space="preserve">2.1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ate.ir</w:t>
            </w:r>
          </w:p>
        </w:tc>
        <w:tc>
          <w:tcPr/>
          <w:p>
            <w:pPr>
              <w:pStyle w:val="Compact"/>
            </w:pPr>
            <w:r>
              <w:t xml:space="preserve">Pydantic IR models for parsed documents. Schema versioned (</w:t>
            </w:r>
            <w:r>
              <w:rPr>
                <w:rStyle w:val="VerbatimChar"/>
              </w:rPr>
              <w:t xml:space="preserve">SCHEMA_VERSION = "1.0.0"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ate.errors</w:t>
            </w:r>
          </w:p>
        </w:tc>
        <w:tc>
          <w:tcPr/>
          <w:p>
            <w:pPr>
              <w:pStyle w:val="Compact"/>
            </w:pPr>
            <w:r>
              <w:t xml:space="preserve">Typed exceptions:</w:t>
            </w:r>
            <w:r>
              <w:t xml:space="preserve"> </w:t>
            </w:r>
            <w:r>
              <w:rPr>
                <w:rStyle w:val="VerbatimChar"/>
              </w:rPr>
              <w:t xml:space="preserve">UnsupportedFormatError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CorruptDocumentError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PasswordProtectedError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EmptyDocumentError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UnsupportedScannedPDFError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EncodingError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ate.parsers.dispatch</w:t>
            </w:r>
          </w:p>
        </w:tc>
        <w:tc>
          <w:tcPr/>
          <w:p>
            <w:pPr>
              <w:pStyle w:val="Compact"/>
            </w:pPr>
            <w:r>
              <w:t xml:space="preserve">Detect format by magic bytes + suffix; route to the right parser.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ate.parsers.docx_parser</w:t>
            </w:r>
          </w:p>
        </w:tc>
        <w:tc>
          <w:tcPr/>
          <w:p>
            <w:pPr>
              <w:pStyle w:val="Compact"/>
            </w:pPr>
            <w:r>
              <w:t xml:space="preserve">DOCX via</w:t>
            </w:r>
            <w:r>
              <w:t xml:space="preserve"> </w:t>
            </w:r>
            <w:r>
              <w:rPr>
                <w:rStyle w:val="VerbatimChar"/>
              </w:rPr>
              <w:t xml:space="preserve">python-docx</w:t>
            </w:r>
            <w:r>
              <w:t xml:space="preserve">; iterates body in document order; detects code blocks via monospace font / CLI-shape heuristics; tables via direct XML.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ate.parsers.pdf_parser</w:t>
            </w:r>
          </w:p>
        </w:tc>
        <w:tc>
          <w:tcPr/>
          <w:p>
            <w:pPr>
              <w:pStyle w:val="Compact"/>
            </w:pPr>
            <w:r>
              <w:t xml:space="preserve">PDF via</w:t>
            </w:r>
            <w:r>
              <w:t xml:space="preserve"> </w:t>
            </w:r>
            <w:r>
              <w:rPr>
                <w:rStyle w:val="VerbatimChar"/>
              </w:rPr>
              <w:t xml:space="preserve">pdfplumber</w:t>
            </w:r>
            <w:r>
              <w:t xml:space="preserve">; layout-based extraction; heading detection by font-size delta vs. body; table extraction via lattice/stream; rejects scanned PDFs.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ate.parsers.txt_parser</w:t>
            </w:r>
          </w:p>
        </w:tc>
        <w:tc>
          <w:tcPr/>
          <w:p>
            <w:pPr>
              <w:pStyle w:val="Compact"/>
            </w:pPr>
            <w:r>
              <w:t xml:space="preserve">Plain text; RFC numbered headings, setext, markdown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, ALL-CAPS; indented + fenced code blocks.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ate.normalize</w:t>
            </w:r>
          </w:p>
        </w:tc>
        <w:tc>
          <w:tcPr/>
          <w:p>
            <w:pPr>
              <w:pStyle w:val="Compact"/>
            </w:pPr>
            <w:r>
              <w:t xml:space="preserve">Strip format-specific noise (page numbers, soft hyphens, smart quotes, whitespace) for parity comparisons.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ate.planner.model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</w:t>
            </w:r>
            <w:r>
              <w:t xml:space="preserve"> </w:t>
            </w:r>
            <w:r>
              <w:t xml:space="preserve">Pydantic models — the format-neutral plan artifact.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ate.planner.extractor</w:t>
            </w:r>
          </w:p>
        </w:tc>
        <w:tc>
          <w:tcPr/>
          <w:p>
            <w:pPr>
              <w:pStyle w:val="Compact"/>
            </w:pPr>
            <w:r>
              <w:t xml:space="preserve">Pulls requirements from IR using anchor regex (default</w:t>
            </w:r>
            <w:r>
              <w:t xml:space="preserve"> </w:t>
            </w:r>
            <w:r>
              <w:rPr>
                <w:rStyle w:val="VerbatimChar"/>
              </w:rPr>
              <w:t xml:space="preserve">&lt;PREFIX&gt;-REQ#NN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ate.planner.categories</w:t>
            </w:r>
          </w:p>
        </w:tc>
        <w:tc>
          <w:tcPr/>
          <w:p>
            <w:pPr>
              <w:pStyle w:val="Compact"/>
            </w:pPr>
            <w:r>
              <w:t xml:space="preserve">Test-plan category definitions — categories + per-category sub-test templates from the Exaware xlsx template.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ate.planner.generator</w:t>
            </w:r>
          </w:p>
        </w:tc>
        <w:tc>
          <w:tcPr/>
          <w:p>
            <w:pPr>
              <w:pStyle w:val="Compact"/>
            </w:pPr>
            <w:r>
              <w:t xml:space="preserve">IR → Plan model. Builds a rule-based scaffold then routes through</w:t>
            </w:r>
            <w:r>
              <w:t xml:space="preserve"> </w:t>
            </w:r>
            <w:r>
              <w:rPr>
                <w:rStyle w:val="VerbatimChar"/>
              </w:rPr>
              <w:t xml:space="preserve">ai_enricher</w:t>
            </w:r>
            <w:r>
              <w:t xml:space="preserve"> </w:t>
            </w:r>
            <w:r>
              <w:t xml:space="preserve">(cache → live Claude API → rule-based fallback).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ate.planner.ai_enricher</w:t>
            </w:r>
          </w:p>
        </w:tc>
        <w:tc>
          <w:tcPr/>
          <w:p>
            <w:pPr>
              <w:pStyle w:val="Compact"/>
            </w:pPr>
            <w:r>
              <w:t xml:space="preserve">Anthropic Claude integration. The committed cache covers 100% of EVPN System Specification rows; live API (</w:t>
            </w:r>
            <w:r>
              <w:rPr>
                <w:rStyle w:val="VerbatimChar"/>
              </w:rPr>
              <w:t xml:space="preserve">ANTHROPIC_API_KEY</w:t>
            </w:r>
            <w:r>
              <w:t xml:space="preserve">) extends to new specs on the fly.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ate.planner.xlsx_writer</w:t>
            </w:r>
          </w:p>
        </w:tc>
        <w:tc>
          <w:tcPr/>
          <w:p>
            <w:pPr>
              <w:pStyle w:val="Compact"/>
            </w:pPr>
            <w:r>
              <w:t xml:space="preserve">Plan → xlsx matching the Exaware template column shape.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ate.cli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ate parse &lt;file&gt; -o out.json</w:t>
            </w:r>
            <w:r>
              <w:t xml:space="preserve"> </w:t>
            </w:r>
            <w:r>
              <w:t xml:space="preserve">and `ate plan</w:t>
            </w:r>
            <w:r>
              <w:t xml:space="preserve"> </w:t>
            </w:r>
            <w:r>
              <w:t xml:space="preserve"> </w:t>
            </w:r>
            <w:r>
              <w:t xml:space="preserve">-o plan.xlsx [--ai</w:t>
            </w:r>
          </w:p>
        </w:tc>
      </w:tr>
    </w:tbl>
    <w:bookmarkEnd w:id="16"/>
    <w:bookmarkStart w:id="17" w:name="Xe53a3d6fc95ef1fe6977f88b9eff98da5d65bfe"/>
    <w:p>
      <w:pPr>
        <w:pStyle w:val="Heading3"/>
      </w:pPr>
      <w:r>
        <w:t xml:space="preserve">2.2 Why a Pydantic IR (not raw dicts)</w:t>
      </w:r>
    </w:p>
    <w:p>
      <w:pPr>
        <w:pStyle w:val="Compact"/>
        <w:numPr>
          <w:ilvl w:val="0"/>
          <w:numId w:val="1002"/>
        </w:numPr>
      </w:pPr>
      <w:r>
        <w:t xml:space="preserve">Schema is enforced at parse time; downstream consumers (M2, M3, M4) get typed access.</w:t>
      </w:r>
    </w:p>
    <w:p>
      <w:pPr>
        <w:pStyle w:val="Compact"/>
        <w:numPr>
          <w:ilvl w:val="0"/>
          <w:numId w:val="1002"/>
        </w:numPr>
      </w:pPr>
      <w:r>
        <w:t xml:space="preserve">Pydantic emits stable, ordered JSON — feeds the determinism gate (M1.f).</w:t>
      </w:r>
    </w:p>
    <w:p>
      <w:pPr>
        <w:pStyle w:val="Compact"/>
        <w:numPr>
          <w:ilvl w:val="0"/>
          <w:numId w:val="1002"/>
        </w:numPr>
      </w:pPr>
      <w:r>
        <w:t xml:space="preserve">Discriminated union of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types makes traversal and pattern-matching ergonomic.</w:t>
      </w:r>
    </w:p>
    <w:bookmarkEnd w:id="17"/>
    <w:bookmarkStart w:id="18" w:name="Xb01aadcf796a8c0488783e7bafffe3f939a973f"/>
    <w:p>
      <w:pPr>
        <w:pStyle w:val="Heading3"/>
      </w:pPr>
      <w:r>
        <w:t xml:space="preserve">2.3 Why the IR is a flat list, not a tree</w:t>
      </w:r>
    </w:p>
    <w:p>
      <w:pPr>
        <w:pStyle w:val="FirstParagraph"/>
      </w:pPr>
      <w:r>
        <w:t xml:space="preserve">Section structure is implicit via</w:t>
      </w:r>
      <w:r>
        <w:t xml:space="preserve"> </w:t>
      </w:r>
      <w:r>
        <w:rPr>
          <w:rStyle w:val="VerbatimChar"/>
        </w:rPr>
        <w:t xml:space="preserve">Heading.level</w:t>
      </w:r>
      <w:r>
        <w:t xml:space="preserve">. Consumers that need a tree build one from blocks. Reasons:</w:t>
      </w:r>
    </w:p>
    <w:p>
      <w:pPr>
        <w:pStyle w:val="Compact"/>
        <w:numPr>
          <w:ilvl w:val="0"/>
          <w:numId w:val="1003"/>
        </w:numPr>
      </w:pPr>
      <w:r>
        <w:t xml:space="preserve">Different parsers produce different heading qualities; flat-list simplifies merging strategies later.</w:t>
      </w:r>
    </w:p>
    <w:p>
      <w:pPr>
        <w:pStyle w:val="Compact"/>
        <w:numPr>
          <w:ilvl w:val="0"/>
          <w:numId w:val="1003"/>
        </w:numPr>
      </w:pPr>
      <w:r>
        <w:t xml:space="preserve">Tables and code blocks at section boundaries are unambiguous (no "which subsection does this belong to?" debate during parsing).</w:t>
      </w:r>
    </w:p>
    <w:p>
      <w:pPr>
        <w:pStyle w:val="Compact"/>
        <w:numPr>
          <w:ilvl w:val="0"/>
          <w:numId w:val="1003"/>
        </w:numPr>
      </w:pPr>
      <w:r>
        <w:t xml:space="preserve">Round-tripping is easier (consumer reorders, parser doesn't).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cb281e2231bb5b82794af2edbf9a197c7debd9f"/>
    <w:p>
      <w:pPr>
        <w:pStyle w:val="Heading2"/>
      </w:pPr>
      <w:r>
        <w:t xml:space="preserve">3. Format-specific parsing strategy</w:t>
      </w:r>
    </w:p>
    <w:bookmarkStart w:id="20" w:name="X7ad42ebdd06d69f27b7275cc81d29c2ca3117e4"/>
    <w:p>
      <w:pPr>
        <w:pStyle w:val="Heading3"/>
      </w:pPr>
      <w:r>
        <w:t xml:space="preserve">3.1 DOCX</w:t>
      </w:r>
    </w:p>
    <w:p>
      <w:pPr>
        <w:pStyle w:val="Compact"/>
        <w:numPr>
          <w:ilvl w:val="0"/>
          <w:numId w:val="1004"/>
        </w:numPr>
      </w:pPr>
      <w:r>
        <w:t xml:space="preserve">Iterate</w:t>
      </w:r>
      <w:r>
        <w:t xml:space="preserve"> </w:t>
      </w:r>
      <w:r>
        <w:rPr>
          <w:rStyle w:val="VerbatimChar"/>
        </w:rPr>
        <w:t xml:space="preserve">document.iter_inner_content()</w:t>
      </w:r>
      <w:r>
        <w:t xml:space="preserve"> </w:t>
      </w:r>
      <w:r>
        <w:t xml:space="preserve">so paragraphs and tables stay in document order.</w:t>
      </w:r>
    </w:p>
    <w:p>
      <w:pPr>
        <w:pStyle w:val="Compact"/>
        <w:numPr>
          <w:ilvl w:val="0"/>
          <w:numId w:val="1004"/>
        </w:numPr>
      </w:pPr>
      <w:r>
        <w:t xml:space="preserve">Heading detection priority:</w:t>
      </w:r>
      <w:r>
        <w:t xml:space="preserve"> </w:t>
      </w:r>
      <w:r>
        <w:rPr>
          <w:rStyle w:val="VerbatimChar"/>
        </w:rPr>
        <w:t xml:space="preserve">Heading 1..9</w:t>
      </w:r>
      <w:r>
        <w:t xml:space="preserve"> </w:t>
      </w:r>
      <w:r>
        <w:t xml:space="preserve">style →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style → fallback heuristic on numbered prefix</w:t>
      </w:r>
      <w:r>
        <w:t xml:space="preserve"> </w:t>
      </w:r>
      <w:r>
        <w:rPr>
          <w:rStyle w:val="VerbatimChar"/>
        </w:rPr>
        <w:t xml:space="preserve">"2.3.1 Title"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TOC entries (</w:t>
      </w:r>
      <w:r>
        <w:rPr>
          <w:rStyle w:val="VerbatimChar"/>
        </w:rPr>
        <w:t xml:space="preserve">TOC 1..9</w:t>
      </w:r>
      <w:r>
        <w:t xml:space="preserve"> </w:t>
      </w:r>
      <w:r>
        <w:t xml:space="preserve">styles) are explicitly rejected to prevent inflating heading counts.</w:t>
      </w:r>
    </w:p>
    <w:p>
      <w:pPr>
        <w:pStyle w:val="Compact"/>
        <w:numPr>
          <w:ilvl w:val="0"/>
          <w:numId w:val="1004"/>
        </w:numPr>
      </w:pPr>
      <w:r>
        <w:t xml:space="preserve">Code blocks: monospace font on any run, OR style name containing "code"/"preformatted", OR content shape (CLI hints like</w:t>
      </w:r>
      <w:r>
        <w:t xml:space="preserve"> </w:t>
      </w:r>
      <w:r>
        <w:rPr>
          <w:rStyle w:val="VerbatimChar"/>
        </w:rPr>
        <w:t xml:space="preserve">exaware#</w:t>
      </w:r>
      <w:r>
        <w:t xml:space="preserve">,</w:t>
      </w:r>
      <w:r>
        <w:t xml:space="preserve"> </w:t>
      </w:r>
      <w:r>
        <w:rPr>
          <w:rStyle w:val="VerbatimChar"/>
        </w:rPr>
        <w:t xml:space="preserve">(config)#</w:t>
      </w:r>
      <w:r>
        <w:t xml:space="preserve">, lone</w:t>
      </w:r>
      <w:r>
        <w:t xml:space="preserve"> </w:t>
      </w:r>
      <w:r>
        <w:rPr>
          <w:rStyle w:val="VerbatimChar"/>
        </w:rPr>
        <w:t xml:space="preserve">!</w:t>
      </w:r>
      <w:r>
        <w:t xml:space="preserve">, lone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). Adjacent code paragraphs are coalesced into a single block.</w:t>
      </w:r>
    </w:p>
    <w:p>
      <w:pPr>
        <w:pStyle w:val="Compact"/>
        <w:numPr>
          <w:ilvl w:val="0"/>
          <w:numId w:val="1004"/>
        </w:numPr>
      </w:pPr>
      <w:r>
        <w:t xml:space="preserve">Tables: walk the underlying</w:t>
      </w:r>
      <w:r>
        <w:t xml:space="preserve"> </w:t>
      </w:r>
      <w:r>
        <w:rPr>
          <w:rStyle w:val="VerbatimChar"/>
        </w:rPr>
        <w:t xml:space="preserve">&lt;w:tbl&gt;</w:t>
      </w:r>
      <w:r>
        <w:t xml:space="preserve"> </w:t>
      </w:r>
      <w:r>
        <w:t xml:space="preserve">XML directly. Each</w:t>
      </w:r>
      <w:r>
        <w:t xml:space="preserve"> </w:t>
      </w:r>
      <w:r>
        <w:rPr>
          <w:rStyle w:val="VerbatimChar"/>
        </w:rPr>
        <w:t xml:space="preserve">&lt;w:tc&gt;</w:t>
      </w:r>
      <w:r>
        <w:t xml:space="preserve"> </w:t>
      </w:r>
      <w:r>
        <w:t xml:space="preserve">in document order is exactly one cell. Avoids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's</w:t>
      </w:r>
      <w:r>
        <w:t xml:space="preserve"> </w:t>
      </w:r>
      <w:r>
        <w:rPr>
          <w:rStyle w:val="VerbatimChar"/>
        </w:rPr>
        <w:t xml:space="preserve">r.cells</w:t>
      </w:r>
      <w:r>
        <w:t xml:space="preserve"> </w:t>
      </w:r>
      <w:r>
        <w:t xml:space="preserve">which repeats merged cells across grid positions and forced non-deterministic dedup.</w:t>
      </w:r>
    </w:p>
    <w:bookmarkEnd w:id="20"/>
    <w:bookmarkStart w:id="21" w:name="X14f5c6e0c0cc10bed84c5705b0e9fb8a31121c8"/>
    <w:p>
      <w:pPr>
        <w:pStyle w:val="Heading3"/>
      </w:pPr>
      <w:r>
        <w:t xml:space="preserve">3.2 PDF</w:t>
      </w:r>
    </w:p>
    <w:p>
      <w:pPr>
        <w:pStyle w:val="Compact"/>
        <w:numPr>
          <w:ilvl w:val="0"/>
          <w:numId w:val="1005"/>
        </w:numPr>
      </w:pPr>
      <w:r>
        <w:t xml:space="preserve">Body font size = the most common rounded character size; anything larger is a heading candidate.</w:t>
      </w:r>
    </w:p>
    <w:p>
      <w:pPr>
        <w:pStyle w:val="Compact"/>
        <w:numPr>
          <w:ilvl w:val="0"/>
          <w:numId w:val="1005"/>
        </w:numPr>
      </w:pPr>
      <w:r>
        <w:t xml:space="preserve">Heading level estimated from size delta (≥6 → L1, ≥4 → L2, ≥2 → L3).</w:t>
      </w:r>
    </w:p>
    <w:p>
      <w:pPr>
        <w:pStyle w:val="Compact"/>
        <w:numPr>
          <w:ilvl w:val="0"/>
          <w:numId w:val="1005"/>
        </w:numPr>
      </w:pPr>
      <w:r>
        <w:t xml:space="preserve">Code blocks: monospace fontname share &gt; 50% per visual line.</w:t>
      </w:r>
    </w:p>
    <w:p>
      <w:pPr>
        <w:pStyle w:val="Compact"/>
        <w:numPr>
          <w:ilvl w:val="0"/>
          <w:numId w:val="1005"/>
        </w:numPr>
      </w:pPr>
      <w:r>
        <w:t xml:space="preserve">Repeating page-header/footer lines stripped (lines appearing in same band on &gt; 50% of pages).</w:t>
      </w:r>
    </w:p>
    <w:p>
      <w:pPr>
        <w:pStyle w:val="Compact"/>
        <w:numPr>
          <w:ilvl w:val="0"/>
          <w:numId w:val="1005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page.find_tables()</w:t>
      </w:r>
      <w:r>
        <w:t xml:space="preserve"> </w:t>
      </w:r>
      <w:r>
        <w:t xml:space="preserve">(lattice + stream); cell content normalized.</w:t>
      </w:r>
    </w:p>
    <w:p>
      <w:pPr>
        <w:pStyle w:val="Compact"/>
        <w:numPr>
          <w:ilvl w:val="0"/>
          <w:numId w:val="1005"/>
        </w:numPr>
      </w:pPr>
      <w:r>
        <w:t xml:space="preserve">Empty text layer →</w:t>
      </w:r>
      <w:r>
        <w:t xml:space="preserve"> </w:t>
      </w:r>
      <w:r>
        <w:rPr>
          <w:rStyle w:val="VerbatimChar"/>
        </w:rPr>
        <w:t xml:space="preserve">UnsupportedScannedPDFError</w:t>
      </w:r>
      <w:r>
        <w:t xml:space="preserve"> </w:t>
      </w:r>
      <w:r>
        <w:t xml:space="preserve">(no OCR in M1).</w:t>
      </w:r>
    </w:p>
    <w:bookmarkEnd w:id="21"/>
    <w:bookmarkStart w:id="22" w:name="X5c0028ce9f118076d278abda62f7b8723cda607"/>
    <w:p>
      <w:pPr>
        <w:pStyle w:val="Heading3"/>
      </w:pPr>
      <w:r>
        <w:t xml:space="preserve">3.3 TXT</w:t>
      </w:r>
    </w:p>
    <w:p>
      <w:pPr>
        <w:pStyle w:val="Compact"/>
        <w:numPr>
          <w:ilvl w:val="0"/>
          <w:numId w:val="1006"/>
        </w:numPr>
      </w:pPr>
      <w:r>
        <w:t xml:space="preserve">Decode as UTF-8 (BOM-aware), fall back to latin-1.</w:t>
      </w:r>
    </w:p>
    <w:p>
      <w:pPr>
        <w:pStyle w:val="Compact"/>
        <w:numPr>
          <w:ilvl w:val="0"/>
          <w:numId w:val="1006"/>
        </w:numPr>
      </w:pPr>
      <w:r>
        <w:t xml:space="preserve">Heading priority: setext (</w:t>
      </w:r>
      <w:r>
        <w:rPr>
          <w:rStyle w:val="VerbatimChar"/>
        </w:rPr>
        <w:t xml:space="preserve">====</w:t>
      </w:r>
      <w:r>
        <w:t xml:space="preserve">/</w:t>
      </w:r>
      <w:r>
        <w:rPr>
          <w:rStyle w:val="VerbatimChar"/>
        </w:rPr>
        <w:t xml:space="preserve">----</w:t>
      </w:r>
      <w:r>
        <w:t xml:space="preserve">) → markdown</w:t>
      </w:r>
      <w:r>
        <w:t xml:space="preserve"> </w:t>
      </w:r>
      <w:r>
        <w:rPr>
          <w:rStyle w:val="VerbatimChar"/>
        </w:rPr>
        <w:t xml:space="preserve">## title</w:t>
      </w:r>
      <w:r>
        <w:t xml:space="preserve"> </w:t>
      </w:r>
      <w:r>
        <w:t xml:space="preserve">→ RFC numbered (</w:t>
      </w:r>
      <w:r>
        <w:rPr>
          <w:rStyle w:val="VerbatimChar"/>
        </w:rPr>
        <w:t xml:space="preserve">2.3.1.  Title</w:t>
      </w:r>
      <w:r>
        <w:t xml:space="preserve">) → ALL-CAPS line.</w:t>
      </w:r>
    </w:p>
    <w:p>
      <w:pPr>
        <w:pStyle w:val="Compact"/>
        <w:numPr>
          <w:ilvl w:val="0"/>
          <w:numId w:val="1006"/>
        </w:numPr>
      </w:pPr>
      <w:r>
        <w:t xml:space="preserve">Code blocks: indented (≥4 spaces) or fenced (</w:t>
      </w:r>
      <w:r>
        <w:rPr>
          <w:rStyle w:val="VerbatimChar"/>
        </w:rPr>
        <w:t xml:space="preserve">```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Tables not parsed in M1 (RFC ASCII art needs custom heuristics; deferred).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5e81756e1cf7358fe044d0c8db2d2ce5647b94e"/>
    <w:p>
      <w:pPr>
        <w:pStyle w:val="Heading2"/>
      </w:pPr>
      <w:r>
        <w:t xml:space="preserve">4. Verification framework (the test framework)</w:t>
      </w:r>
    </w:p>
    <w:p>
      <w:pPr>
        <w:pStyle w:val="FirstParagraph"/>
      </w:pPr>
      <w:r>
        <w:t xml:space="preserve">The framework serves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audiences with one stack: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Project owner</w:t>
      </w:r>
      <w:r>
        <w:t xml:space="preserve"> </w:t>
      </w:r>
      <w:r>
        <w:t xml:space="preserve">— gets green/red signal that M1 meets acceptance.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Future contributor</w:t>
      </w:r>
      <w:r>
        <w:t xml:space="preserve"> </w:t>
      </w:r>
      <w:r>
        <w:t xml:space="preserve">— gets regression detection: any drift from committed goldens fails the build.</w:t>
      </w:r>
    </w:p>
    <w:bookmarkStart w:id="24" w:name="X4c95c47d300d7bf4d1b2edf896e91d609ed3b0c"/>
    <w:p>
      <w:pPr>
        <w:pStyle w:val="Heading3"/>
      </w:pPr>
      <w:r>
        <w:t xml:space="preserve">4.1 Layers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tests/test_parsers.py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test_dispatch.py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test_cli.py</w:t>
            </w:r>
          </w:p>
        </w:tc>
        <w:tc>
          <w:tcPr/>
          <w:p>
            <w:pPr>
              <w:pStyle w:val="Compact"/>
            </w:pPr>
            <w:r>
              <w:t xml:space="preserve">Per-component behavior, 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cases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tests/test_edge_cases.py</w:t>
            </w:r>
          </w:p>
        </w:tc>
        <w:tc>
          <w:tcPr/>
          <w:p>
            <w:pPr>
              <w:pStyle w:val="Compact"/>
            </w:pPr>
            <w:r>
              <w:t xml:space="preserve">Tier-C files raise the typed errors declared in</w:t>
            </w:r>
            <w:r>
              <w:t xml:space="preserve"> </w:t>
            </w:r>
            <w:r>
              <w:rPr>
                <w:rStyle w:val="VerbatimChar"/>
              </w:rPr>
              <w:t xml:space="preserve">MANIFEST.tsv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tests/test_determinism.py</w:t>
            </w:r>
          </w:p>
        </w:tc>
        <w:tc>
          <w:tcPr/>
          <w:p>
            <w:pPr>
              <w:pStyle w:val="Compact"/>
            </w:pPr>
            <w:r>
              <w:t xml:space="preserve">3 runs byte-identical for every Tier-A/B 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parity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tests/test_parity.py</w:t>
            </w:r>
          </w:p>
        </w:tc>
        <w:tc>
          <w:tcPr/>
          <w:p>
            <w:pPr>
              <w:pStyle w:val="Compact"/>
            </w:pPr>
            <w:r>
              <w:t xml:space="preserve">RFC 9785 word-Jaccard ≥ 0.90 across DOCX/TXT/PDF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tests/test_regression.py</w:t>
            </w:r>
          </w:p>
        </w:tc>
        <w:tc>
          <w:tcPr/>
          <w:p>
            <w:pPr>
              <w:pStyle w:val="Compact"/>
            </w:pPr>
            <w:r>
              <w:t xml:space="preserve">Normalized IR byte-identical to committed</w:t>
            </w:r>
            <w:r>
              <w:t xml:space="preserve"> </w:t>
            </w:r>
            <w:r>
              <w:rPr>
                <w:rStyle w:val="VerbatimChar"/>
              </w:rPr>
              <w:t xml:space="preserve">tests/golden/ir/*.json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scripts/score.py</w:t>
            </w:r>
          </w:p>
        </w:tc>
        <w:tc>
          <w:tcPr/>
          <w:p>
            <w:pPr>
              <w:pStyle w:val="Compact"/>
            </w:pPr>
            <w:r>
              <w:t xml:space="preserve">All M1 numeric metrics in one scorecard</w:t>
            </w:r>
          </w:p>
        </w:tc>
      </w:tr>
    </w:tbl>
    <w:bookmarkEnd w:id="24"/>
    <w:bookmarkStart w:id="25" w:name="X28658f8bd0222df059420ec4250e5d87e422da2"/>
    <w:p>
      <w:pPr>
        <w:pStyle w:val="Heading3"/>
      </w:pPr>
      <w:r>
        <w:t xml:space="preserve">4.2 The unified entrypoint</w:t>
      </w:r>
    </w:p>
    <w:p>
      <w:pPr>
        <w:pStyle w:val="FirstParagraph"/>
      </w:pPr>
      <w:r>
        <w:rPr>
          <w:rStyle w:val="VerbatimChar"/>
        </w:rPr>
        <w:t xml:space="preserve">./modular_tools.sh</w:t>
      </w:r>
      <w:r>
        <w:t xml:space="preserve"> </w:t>
      </w:r>
      <w:r>
        <w:t xml:space="preserve">is the swiss knife inspired by</w:t>
      </w:r>
      <w:r>
        <w:t xml:space="preserve"> </w:t>
      </w:r>
      <w:r>
        <w:rPr>
          <w:rStyle w:val="VerbatimChar"/>
        </w:rPr>
        <w:t xml:space="preserve">/home/ilan/work/uvision/track/modular_tools.sh</w:t>
      </w:r>
      <w:r>
        <w:t xml:space="preserve">. Single dispatcher, grouped subcommands, color-coded output. Key entries: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verify</w:t>
      </w:r>
      <w:r>
        <w:t xml:space="preserve"> </w:t>
      </w:r>
      <w:r>
        <w:t xml:space="preserve">— runs the M1 acceptance scorecard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regression</w:t>
      </w:r>
      <w:r>
        <w:t xml:space="preserve"> </w:t>
      </w:r>
      <w:r>
        <w:t xml:space="preserve">— pytest + golden drift in one shot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e2e</w:t>
      </w:r>
      <w:r>
        <w:t xml:space="preserve"> </w:t>
      </w:r>
      <w:r>
        <w:t xml:space="preserve">— env check + corpus check + tests + scorecard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golden_diff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golden_update</w:t>
      </w:r>
      <w:r>
        <w:t xml:space="preserve"> </w:t>
      </w:r>
      <w:r>
        <w:t xml:space="preserve">— manage the regression baseline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defers to the same scripts so either entrypoint works.</w:t>
      </w:r>
    </w:p>
    <w:bookmarkEnd w:id="25"/>
    <w:bookmarkStart w:id="26" w:name="X05895a5509419e602f85084338d1a551940f28f"/>
    <w:p>
      <w:pPr>
        <w:pStyle w:val="Heading3"/>
      </w:pPr>
      <w:r>
        <w:t xml:space="preserve">4.3 Goldens — the regression contract</w:t>
      </w:r>
    </w:p>
    <w:p>
      <w:pPr>
        <w:pStyle w:val="FirstParagraph"/>
      </w:pPr>
      <w:r>
        <w:t xml:space="preserve">Goldens live under</w:t>
      </w:r>
      <w:r>
        <w:t xml:space="preserve"> </w:t>
      </w:r>
      <w:r>
        <w:rPr>
          <w:rStyle w:val="VerbatimChar"/>
        </w:rPr>
        <w:t xml:space="preserve">tests/golden/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headings.json</w:t>
            </w:r>
          </w:p>
        </w:tc>
        <w:tc>
          <w:tcPr/>
          <w:p>
            <w:pPr>
              <w:pStyle w:val="Compact"/>
            </w:pPr>
            <w:r>
              <w:t xml:space="preserve">Per-doc list of expected heading texts (initially seeded from parser output; meant to be human-pruned before sign-off).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cli_blocks.json</w:t>
            </w:r>
          </w:p>
        </w:tc>
        <w:tc>
          <w:tcPr/>
          <w:p>
            <w:pPr>
              <w:pStyle w:val="Compact"/>
            </w:pPr>
            <w:r>
              <w:t xml:space="preserve">Curated list of CLI signature substrings that must appear verbatim in the EVPN spec's 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tables.json</w:t>
            </w:r>
          </w:p>
        </w:tc>
        <w:tc>
          <w:tcPr/>
          <w:p>
            <w:pPr>
              <w:pStyle w:val="Compact"/>
            </w:pPr>
            <w:r>
              <w:t xml:space="preserve">Per-doc minimum table count.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ir/&lt;doc&gt;.json</w:t>
            </w:r>
          </w:p>
        </w:tc>
        <w:tc>
          <w:tcPr/>
          <w:p>
            <w:pPr>
              <w:pStyle w:val="Compact"/>
            </w:pPr>
            <w:r>
              <w:t xml:space="preserve">Full normalized IR per tracked doc — the regression baseline.</w:t>
            </w:r>
          </w:p>
        </w:tc>
      </w:tr>
    </w:tbl>
    <w:p>
      <w:pPr>
        <w:pStyle w:val="BodyText"/>
      </w:pPr>
      <w:r>
        <w:t xml:space="preserve">Updating a golden = an explicit decision to redefine "correct." The diff is reviewed before commit.</w:t>
      </w:r>
      <w:r>
        <w:t xml:space="preserve"> </w:t>
      </w:r>
      <w:r>
        <w:rPr>
          <w:rStyle w:val="VerbatimChar"/>
        </w:rPr>
        <w:t xml:space="preserve">./modular_tools.sh golden_diff</w:t>
      </w:r>
      <w:r>
        <w:t xml:space="preserve"> </w:t>
      </w:r>
      <w:r>
        <w:t xml:space="preserve">shows the pending change.</w:t>
      </w:r>
    </w:p>
    <w:bookmarkEnd w:id="26"/>
    <w:bookmarkStart w:id="27" w:name="X263c0ea8d3e11d348fa5111df4e0fb5db281d88"/>
    <w:p>
      <w:pPr>
        <w:pStyle w:val="Heading3"/>
      </w:pPr>
      <w:r>
        <w:t xml:space="preserve">4.4 Honesty about what's measured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cli_block_preservation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format_parity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determinism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edge_cases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no_unhandled_exceptions</w:t>
      </w:r>
      <w:r>
        <w:t xml:space="preserve"> </w:t>
      </w:r>
      <w:r>
        <w:t xml:space="preserve">are absolute checks. Passing them is real evidence.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heading_recovery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table_preservation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regression</w:t>
      </w:r>
      <w:r>
        <w:t xml:space="preserve"> </w:t>
      </w:r>
      <w:r>
        <w:t xml:space="preserve">gates against goldens generated from the parser. Their value is preventing future drift, not absolute correctness on day 1.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anchor_detection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reported, not gated</w:t>
      </w:r>
      <w:r>
        <w:t xml:space="preserve"> </w:t>
      </w:r>
      <w:r>
        <w:t xml:space="preserve">— it's an M2 metric, here for visibility.</w:t>
      </w:r>
    </w:p>
    <w:p>
      <w:pPr>
        <w:pStyle w:val="FirstParagraph"/>
      </w:pPr>
      <w:r>
        <w:t xml:space="preserve">This is why</w:t>
      </w:r>
      <w:r>
        <w:t xml:space="preserve"> </w:t>
      </w:r>
      <w:r>
        <w:rPr>
          <w:rStyle w:val="VerbatimChar"/>
          <w:b/>
          <w:bCs/>
        </w:rPr>
        <w:t xml:space="preserve">docs/exaware-acceptance.md</w:t>
      </w:r>
      <w:r>
        <w:t xml:space="preserve"> </w:t>
      </w:r>
      <w:r>
        <w:t xml:space="preserve">exists: the human spot-check is the only gate that proves the IR faithfully represents source content. The forced-finding form (3 anchors named, 1 CLI block pasted, 1 table row count) prevents rubber-stamping.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062a33cf3a20cf6ec38137be9aa615a818acfeb"/>
    <w:p>
      <w:pPr>
        <w:pStyle w:val="Heading2"/>
      </w:pPr>
      <w:r>
        <w:t xml:space="preserve">5. Risks and known limitations (M1)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 / limitation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Real-world Exaware PDFs (multi-column, embedded fonts) may produce different parsing quality than the RFC 9785 PDF</w:t>
            </w:r>
          </w:p>
        </w:tc>
        <w:tc>
          <w:tcPr/>
          <w:p>
            <w:pPr>
              <w:pStyle w:val="Compact"/>
            </w:pPr>
            <w:r>
              <w:t xml:space="preserve">Documented as M1 known constraint; revisit when Exaware sends a PDF sample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Vertical-merge (</w:t>
            </w:r>
            <w:r>
              <w:rPr>
                <w:rStyle w:val="VerbatimChar"/>
              </w:rPr>
              <w:t xml:space="preserve">vMerge</w:t>
            </w:r>
            <w:r>
              <w:t xml:space="preserve">) cells in DOCX tables count as one cell per row instead of spanning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rowspan=1</w:t>
            </w:r>
            <w:r>
              <w:t xml:space="preserve"> </w:t>
            </w:r>
            <w:r>
              <w:t xml:space="preserve">recorded; deferred to M2 if downstream consumers need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TXT table parsing not implemented</w:t>
            </w:r>
          </w:p>
        </w:tc>
        <w:tc>
          <w:tcPr/>
          <w:p>
            <w:pPr>
              <w:pStyle w:val="Compact"/>
            </w:pPr>
            <w:r>
              <w:t xml:space="preserve">RFC ASCII tables require custom heuristics; deferred. RFC headings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Heading recovery and table preservation gold standards are seeded from parser output, not human-curated</w:t>
            </w:r>
          </w:p>
        </w:tc>
        <w:tc>
          <w:tcPr/>
          <w:p>
            <w:pPr>
              <w:pStyle w:val="Compact"/>
            </w:pPr>
            <w:r>
              <w:t xml:space="preserve">Documented above; Exaware spot-check provides the absolute correctness signal at end of W2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Style-variance across Exaware specs unknown (only EVPN spec validated)</w:t>
            </w:r>
          </w:p>
        </w:tc>
        <w:tc>
          <w:tcPr/>
          <w:p>
            <w:pPr>
              <w:pStyle w:val="Compact"/>
            </w:pPr>
            <w:r>
              <w:t xml:space="preserve">Stress-test in M2 with 2–3 more spec samples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Pydantic 2 + python-docx incompatibility at major version bumps</w:t>
            </w:r>
          </w:p>
        </w:tc>
        <w:tc>
          <w:tcPr/>
          <w:p>
            <w:pPr>
              <w:pStyle w:val="Compact"/>
            </w:pPr>
            <w:r>
              <w:t xml:space="preserve">Versions pinned in pyproject.toml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Host environment leakage (ROS2/system pytest plugins)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PYTEST_DISABLE_PLUGIN_AUTOLOAD=1</w:t>
            </w:r>
            <w:r>
              <w:t xml:space="preserve"> </w:t>
            </w:r>
            <w:r>
              <w:t xml:space="preserve">set in Makefile and</w:t>
            </w:r>
            <w:r>
              <w:t xml:space="preserve"> </w:t>
            </w:r>
            <w:r>
              <w:rPr>
                <w:rStyle w:val="VerbatimChar"/>
              </w:rPr>
              <w:t xml:space="preserve">modular_tools.sh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9" w:name="X824c38676aaaf2971c2a1dd44ec9bd76bb3be00"/>
    <w:p>
      <w:pPr>
        <w:pStyle w:val="Heading2"/>
      </w:pPr>
      <w:r>
        <w:t xml:space="preserve">9. Requirements Builder + DHCP-snoopy row shape (M1 client respin, 2026-05-17)</w:t>
      </w:r>
    </w:p>
    <w:bookmarkStart w:id="30" w:name="why"/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Client review (Eyal Ozeri, 2026-05-14) flagged two structural defects</w:t>
      </w:r>
      <w:r>
        <w:t xml:space="preserve"> </w:t>
      </w:r>
      <w:r>
        <w:t xml:space="preserve">and shared</w:t>
      </w:r>
      <w:r>
        <w:t xml:space="preserve"> </w:t>
      </w:r>
      <w:r>
        <w:rPr>
          <w:rStyle w:val="VerbatimChar"/>
        </w:rPr>
        <w:t xml:space="preserve">references/DHCP-snoopy_TP_with_PW.xlsx</w:t>
      </w:r>
      <w:r>
        <w:t xml:space="preserve"> </w:t>
      </w:r>
      <w:r>
        <w:t xml:space="preserve">as the visual target: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RFC not handled as a first-class requirement source.</w:t>
      </w:r>
      <w:r>
        <w:t xml:space="preserve"> </w:t>
      </w:r>
      <w:r>
        <w:t xml:space="preserve">Pipeline</w:t>
      </w:r>
      <w:r>
        <w:t xml:space="preserve"> </w:t>
      </w:r>
      <w:r>
        <w:t xml:space="preserve">treated SFS as SSOT; RFC MUST clauses extracted by</w:t>
      </w:r>
      <w:r>
        <w:t xml:space="preserve"> </w:t>
      </w:r>
      <w:r>
        <w:rPr>
          <w:rStyle w:val="VerbatimChar"/>
        </w:rPr>
        <w:t xml:space="preserve">rfc_extractor.py</w:t>
      </w:r>
      <w:r>
        <w:t xml:space="preserve"> </w:t>
      </w:r>
      <w:r>
        <w:t xml:space="preserve">were folded into the same flat list and run through the flow</w:t>
      </w:r>
      <w:r>
        <w:t xml:space="preserve"> </w:t>
      </w:r>
      <w:r>
        <w:t xml:space="preserve">selector. RFC clauses no flow happened to claim landed in the</w:t>
      </w:r>
      <w:r>
        <w:t xml:space="preserve"> </w:t>
      </w:r>
      <w:r>
        <w:t xml:space="preserve">Coverage-orphan sheet — the main TP shipped without testing them.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Hierarchical CLI sub-configs not expanded.</w:t>
      </w:r>
      <w:r>
        <w:t xml:space="preserve"> </w:t>
      </w:r>
      <w:r>
        <w:rPr>
          <w:rStyle w:val="VerbatimChar"/>
        </w:rPr>
        <w:t xml:space="preserve">af-l2vpn evpn</w:t>
      </w:r>
      <w:r>
        <w:t xml:space="preserve"> </w:t>
      </w:r>
      <w:r>
        <w:t xml:space="preserve">appears in the EVPN CLI doc as one command with empty parameters,</w:t>
      </w:r>
      <w:r>
        <w:t xml:space="preserve"> </w:t>
      </w:r>
      <w:r>
        <w:t xml:space="preserve">but in reality it opens a sub-mode whose 7 BGP-neighbor sub-configs</w:t>
      </w:r>
      <w:r>
        <w:t xml:space="preserve"> </w:t>
      </w:r>
      <w:r>
        <w:t xml:space="preserve">(</w:t>
      </w:r>
      <w:r>
        <w:rPr>
          <w:rStyle w:val="VerbatimChar"/>
        </w:rPr>
        <w:t xml:space="preserve">allow-as-in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inbound-soft-reconfiguration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maximum-prefix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private-as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route-reflector-client</w:t>
      </w:r>
      <w:r>
        <w:t xml:space="preserve">)</w:t>
      </w:r>
      <w:r>
        <w:t xml:space="preserve"> </w:t>
      </w:r>
      <w:r>
        <w:t xml:space="preserve">are documented in Exaware's BGP CLI manual — which we do not have.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Row shape diverges from what QA writes.</w:t>
      </w:r>
      <w:r>
        <w:t xml:space="preserve"> </w:t>
      </w:r>
      <w:r>
        <w:t xml:space="preserve">DHCP-snoopy uses</w:t>
      </w:r>
      <w:r>
        <w:t xml:space="preserve"> </w:t>
      </w:r>
      <w:r>
        <w:t xml:space="preserve">atomic-row-under-topic-banner with one-sentence Action / Expectation</w:t>
      </w:r>
      <w:r>
        <w:t xml:space="preserve"> </w:t>
      </w:r>
      <w:r>
        <w:t xml:space="preserve">/ Monitor columns. The previous generator emitted multi-line</w:t>
      </w:r>
      <w:r>
        <w:t xml:space="preserve"> </w:t>
      </w:r>
      <w:r>
        <w:t xml:space="preserve">Setup/Action/Verify</w:t>
      </w:r>
      <w:r>
        <w:t xml:space="preserve"> </w:t>
      </w:r>
      <w:r>
        <w:rPr>
          <w:b/>
          <w:bCs/>
        </w:rPr>
        <w:t xml:space="preserve">blobs in one cell</w:t>
      </w:r>
      <w:r>
        <w:t xml:space="preserve"> </w:t>
      </w:r>
      <w:r>
        <w:t xml:space="preserve">(introduced for Yossi's</w:t>
      </w:r>
      <w:r>
        <w:t xml:space="preserve"> </w:t>
      </w:r>
      <w:r>
        <w:t xml:space="preserve">2026-05-07 review — see</w:t>
      </w:r>
      <w:r>
        <w:t xml:space="preserve"> </w:t>
      </w:r>
      <w:r>
        <w:rPr>
          <w:rStyle w:val="VerbatimChar"/>
        </w:rPr>
        <w:t xml:space="preserve">memory/project_m1_yossi_respin.md</w:t>
      </w:r>
      <w:r>
        <w:t xml:space="preserve">).</w:t>
      </w:r>
    </w:p>
    <w:bookmarkEnd w:id="30"/>
    <w:bookmarkStart w:id="34" w:name="what-changed"/>
    <w:p>
      <w:pPr>
        <w:pStyle w:val="Heading3"/>
      </w:pPr>
      <w:r>
        <w:t xml:space="preserve">What changed</w:t>
      </w:r>
    </w:p>
    <w:p>
      <w:pPr>
        <w:pStyle w:val="FirstParagraph"/>
      </w:pPr>
      <w:r>
        <w:t xml:space="preserve">A pre-agent</w:t>
      </w:r>
      <w:r>
        <w:t xml:space="preserve"> </w:t>
      </w:r>
      <w:r>
        <w:rPr>
          <w:b/>
          <w:bCs/>
        </w:rPr>
        <w:t xml:space="preserve">Requirements Builder</w:t>
      </w:r>
      <w:r>
        <w:t xml:space="preserve"> </w:t>
      </w:r>
      <w:r>
        <w:t xml:space="preserve">stage now unifies three independent</w:t>
      </w:r>
      <w:r>
        <w:t xml:space="preserve"> </w:t>
      </w:r>
      <w:r>
        <w:t xml:space="preserve">sources into one catalog with provenance tracking. The xlsx renderer</w:t>
      </w:r>
      <w:r>
        <w:t xml:space="preserve"> </w:t>
      </w:r>
      <w:r>
        <w:t xml:space="preserve">emits a 9-column DHCP-snoopy schema; multi-line PlanRow blobs decompose</w:t>
      </w:r>
      <w:r>
        <w:t xml:space="preserve"> </w:t>
      </w:r>
      <w:r>
        <w:t xml:space="preserve">into atomic action rows at render time (so the AI-enrichment cache</w:t>
      </w:r>
      <w:r>
        <w:t xml:space="preserve"> </w:t>
      </w:r>
      <w:r>
        <w:t xml:space="preserve">survives the shape change).</w:t>
      </w:r>
    </w:p>
    <w:bookmarkStart w:id="31" w:name="new-modules"/>
    <w:p>
      <w:pPr>
        <w:pStyle w:val="Heading4"/>
      </w:pPr>
      <w:r>
        <w:t xml:space="preserve">New modules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ate.planner.requirements_builder</w:t>
            </w:r>
          </w:p>
        </w:tc>
        <w:tc>
          <w:tcPr/>
          <w:p>
            <w:pPr>
              <w:pStyle w:val="Compact"/>
            </w:pPr>
            <w:r>
              <w:t xml:space="preserve">Orchestrates</w:t>
            </w:r>
            <w:r>
              <w:t xml:space="preserve"> </w:t>
            </w:r>
            <w:r>
              <w:rPr>
                <w:rStyle w:val="VerbatimChar"/>
              </w:rPr>
              <w:t xml:space="preserve">extract_requirements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extract_rfc_requirements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extract_commands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cli_inheritance.expand</w:t>
            </w:r>
            <w:r>
              <w:t xml:space="preserve">. Returns</w:t>
            </w:r>
            <w:r>
              <w:t xml:space="preserve"> </w:t>
            </w:r>
            <w:r>
              <w:rPr>
                <w:rStyle w:val="VerbatimChar"/>
              </w:rPr>
              <w:t xml:space="preserve">RequirementCatalog</w:t>
            </w:r>
            <w:r>
              <w:t xml:space="preserve"> </w:t>
            </w:r>
            <w:r>
              <w:t xml:space="preserve">(requirements, cli_commands, synth_anchors, provenance, inherited_cmd_names).</w:t>
            </w:r>
            <w:r>
              <w:t xml:space="preserve"> </w:t>
            </w:r>
            <w:r>
              <w:rPr>
                <w:rStyle w:val="VerbatimChar"/>
              </w:rPr>
              <w:t xml:space="preserve">mark_claimed()</w:t>
            </w:r>
            <w:r>
              <w:t xml:space="preserve"> </w:t>
            </w:r>
            <w:r>
              <w:t xml:space="preserve">populates</w:t>
            </w:r>
            <w:r>
              <w:t xml:space="preserve"> </w:t>
            </w:r>
            <w:r>
              <w:rPr>
                <w:rStyle w:val="VerbatimChar"/>
              </w:rPr>
              <w:t xml:space="preserve">synth_anchors</w:t>
            </w:r>
            <w:r>
              <w:t xml:space="preserve"> </w:t>
            </w:r>
            <w:r>
              <w:t xml:space="preserve">from RFC reqs no flow claimed.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ate.planner.cli_inheritance</w:t>
            </w:r>
          </w:p>
        </w:tc>
        <w:tc>
          <w:tcPr/>
          <w:p>
            <w:pPr>
              <w:pStyle w:val="Compact"/>
            </w:pPr>
            <w:r>
              <w:t xml:space="preserve">Hand-curated table of sub-mode inheritance. Single entry today:</w:t>
            </w:r>
            <w:r>
              <w:t xml:space="preserve"> </w:t>
            </w:r>
            <w:r>
              <w:rPr>
                <w:rStyle w:val="VerbatimChar"/>
              </w:rPr>
              <w:t xml:space="preserve">BGP_NEIGHBOR_AF_L2VPN_EVPN</w:t>
            </w:r>
            <w:r>
              <w:t xml:space="preserve"> </w:t>
            </w:r>
            <w:r>
              <w:t xml:space="preserve">with 7 sub-configs.</w:t>
            </w:r>
            <w:r>
              <w:t xml:space="preserve"> </w:t>
            </w:r>
            <w:r>
              <w:rPr>
                <w:rStyle w:val="VerbatimChar"/>
              </w:rPr>
              <w:t xml:space="preserve">expand(extracted)</w:t>
            </w:r>
            <w:r>
              <w:t xml:space="preserve"> </w:t>
            </w:r>
            <w:r>
              <w:t xml:space="preserve">injects each sub-config as a</w:t>
            </w:r>
            <w:r>
              <w:t xml:space="preserve"> </w:t>
            </w:r>
            <w:r>
              <w:rPr>
                <w:rStyle w:val="VerbatimChar"/>
              </w:rPr>
              <w:t xml:space="preserve">CliCommand</w:t>
            </w:r>
            <w:r>
              <w:t xml:space="preserve">; idempotent if the real BGP doc is later integrated.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ate.planner.atomic_rows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PlanRow → list[AtomicRow]</w:t>
            </w:r>
            <w:r>
              <w:t xml:space="preserve"> </w:t>
            </w:r>
            <w:r>
              <w:t xml:space="preserve">decomposer. Parses the multi-line Setup/Action/Verify blob into atomic step lists, extracts show commands from Verify into the Monitor column, emits banner + N action rows. Provenance (</w:t>
            </w:r>
            <w:r>
              <w:rPr>
                <w:rStyle w:val="VerbatimChar"/>
              </w:rPr>
              <w:t xml:space="preserve">synth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cli-inherit</w:t>
            </w:r>
            <w:r>
              <w:t xml:space="preserve">) flows through to the Comment column.</w:t>
            </w:r>
          </w:p>
        </w:tc>
      </w:tr>
    </w:tbl>
    <w:bookmarkEnd w:id="31"/>
    <w:bookmarkStart w:id="32" w:name="modified-modules"/>
    <w:p>
      <w:pPr>
        <w:pStyle w:val="Heading4"/>
      </w:pPr>
      <w:r>
        <w:t xml:space="preserve">Modified modules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ate.planner.generator</w:t>
            </w:r>
          </w:p>
        </w:tc>
        <w:tc>
          <w:tcPr/>
          <w:p>
            <w:pPr>
              <w:pStyle w:val="Compact"/>
            </w:pPr>
            <w:r>
              <w:t xml:space="preserve">Replaces inline SFS/RFC/CLI extraction with</w:t>
            </w:r>
            <w:r>
              <w:t xml:space="preserve"> </w:t>
            </w:r>
            <w:r>
              <w:rPr>
                <w:rStyle w:val="VerbatimChar"/>
              </w:rPr>
              <w:t xml:space="preserve">build_catalog()</w:t>
            </w:r>
            <w:r>
              <w:t xml:space="preserve">; calls</w:t>
            </w:r>
            <w:r>
              <w:t xml:space="preserve"> </w:t>
            </w:r>
            <w:r>
              <w:rPr>
                <w:rStyle w:val="VerbatimChar"/>
              </w:rPr>
              <w:t xml:space="preserve">mark_claimed()</w:t>
            </w:r>
            <w:r>
              <w:t xml:space="preserve"> </w:t>
            </w:r>
            <w:r>
              <w:t xml:space="preserve">after flow matching so RFC orphans surface as</w:t>
            </w:r>
            <w:r>
              <w:t xml:space="preserve"> </w:t>
            </w:r>
            <w:r>
              <w:rPr>
                <w:rStyle w:val="VerbatimChar"/>
              </w:rPr>
              <w:t xml:space="preserve">synth_anchors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ate.planner.xlsx_writer</w:t>
            </w:r>
          </w:p>
        </w:tc>
        <w:tc>
          <w:tcPr/>
          <w:p>
            <w:pPr>
              <w:pStyle w:val="Compact"/>
            </w:pPr>
            <w:r>
              <w:t xml:space="preserve">Rewritten "Test Plan Topics" sheet for 9-column schema. New "Synthesized — Review" sheet lists every banner with provenance</w:t>
            </w:r>
            <w:r>
              <w:t xml:space="preserve"> </w:t>
            </w:r>
            <w:r>
              <w:rPr>
                <w:rStyle w:val="VerbatimChar"/>
              </w:rPr>
              <w:t xml:space="preserve">synth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cli-inherit</w:t>
            </w:r>
            <w:r>
              <w:t xml:space="preserve">. PlanRow blobs are decomposed via</w:t>
            </w:r>
            <w:r>
              <w:t xml:space="preserve"> </w:t>
            </w:r>
            <w:r>
              <w:rPr>
                <w:rStyle w:val="VerbatimChar"/>
              </w:rPr>
              <w:t xml:space="preserve">atomic_rows.rows_for_plan_row()</w:t>
            </w:r>
            <w:r>
              <w:t xml:space="preserve"> </w:t>
            </w:r>
            <w:r>
              <w:t xml:space="preserve">at write time.</w:t>
            </w:r>
          </w:p>
        </w:tc>
      </w:tr>
    </w:tbl>
    <w:bookmarkEnd w:id="32"/>
    <w:bookmarkStart w:id="33" w:name="output-xlsx-9-column-schema"/>
    <w:p>
      <w:pPr>
        <w:pStyle w:val="Heading4"/>
      </w:pPr>
      <w:r>
        <w:t xml:space="preserve">Output xlsx 9-column schema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Banner row label (</w:t>
            </w:r>
            <w:r>
              <w:rPr>
                <w:rStyle w:val="VerbatimChar"/>
              </w:rPr>
              <w:t xml:space="preserve">FLOW-010 — 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RFC7432bis §7.2 — 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allow-as-in</w:t>
            </w:r>
            <w:r>
              <w:t xml:space="preserve">). Empty on continuation rows.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One-sentence verb phrase.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SFS / RFC Req ID</w:t>
            </w:r>
          </w:p>
        </w:tc>
        <w:tc>
          <w:tcPr/>
          <w:p>
            <w:pPr>
              <w:pStyle w:val="Compact"/>
            </w:pPr>
            <w:r>
              <w:t xml:space="preserve">Comma-joined</w:t>
            </w:r>
            <w:r>
              <w:t xml:space="preserve"> </w:t>
            </w:r>
            <w:r>
              <w:rPr>
                <w:rStyle w:val="VerbatimChar"/>
              </w:rPr>
              <w:t xml:space="preserve">EVPNS-REQ#NN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RFC*-§N.N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CLI:&lt;name&gt;</w:t>
            </w:r>
            <w:r>
              <w:t xml:space="preserve"> </w:t>
            </w:r>
            <w:r>
              <w:t xml:space="preserve">tokens.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Expectation</w:t>
            </w:r>
          </w:p>
        </w:tc>
        <w:tc>
          <w:tcPr/>
          <w:p>
            <w:pPr>
              <w:pStyle w:val="Compact"/>
            </w:pPr>
            <w:r>
              <w:t xml:space="preserve">One-sentence pass criterion (last action row of a topic carries the full Pass / Fail-on).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Monitor</w:t>
            </w:r>
          </w:p>
        </w:tc>
        <w:tc>
          <w:tcPr/>
          <w:p>
            <w:pPr>
              <w:pStyle w:val="Compact"/>
            </w:pPr>
            <w:r>
              <w:t xml:space="preserve">Show / clear commands extracted from the Verify steps.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Test Equipment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DUT 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DUT + IXIA + neighbor PE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Build number</w:t>
            </w:r>
          </w:p>
        </w:tc>
        <w:tc>
          <w:tcPr/>
          <w:p>
            <w:pPr>
              <w:pStyle w:val="Compact"/>
            </w:pPr>
            <w:r>
              <w:t xml:space="preserve">QA fills.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Results (Pass/Fail)</w:t>
            </w:r>
          </w:p>
        </w:tc>
        <w:tc>
          <w:tcPr/>
          <w:p>
            <w:pPr>
              <w:pStyle w:val="Compact"/>
            </w:pPr>
            <w:r>
              <w:t xml:space="preserve">QA fills.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synthesized — review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CLI inheritance — review</w:t>
            </w:r>
            <w:r>
              <w:t xml:space="preserve"> </w:t>
            </w:r>
            <w:r>
              <w:t xml:space="preserve">markers on auto-generated rows; QA bug numbers.</w:t>
            </w:r>
          </w:p>
        </w:tc>
      </w:tr>
    </w:tbl>
    <w:p>
      <w:pPr>
        <w:pStyle w:val="BodyText"/>
      </w:pPr>
      <w:r>
        <w:t xml:space="preserve">Banner rows are tinted: blue (flow), yellow (RFC-synth), violet (CLI-inherit).</w:t>
      </w:r>
      <w:r>
        <w:t xml:space="preserve"> </w:t>
      </w:r>
      <w:r>
        <w:t xml:space="preserve">Atomic rows under a banner leave col A blank — they inherit the topic</w:t>
      </w:r>
      <w:r>
        <w:t xml:space="preserve"> </w:t>
      </w:r>
      <w:r>
        <w:t xml:space="preserve">visually (matches DHCP-snoopy).</w:t>
      </w:r>
    </w:p>
    <w:bookmarkEnd w:id="33"/>
    <w:bookmarkEnd w:id="34"/>
    <w:bookmarkStart w:id="35" w:name="yossi-alignment-note"/>
    <w:p>
      <w:pPr>
        <w:pStyle w:val="Heading3"/>
      </w:pPr>
      <w:r>
        <w:t xml:space="preserve">Yossi-alignment note</w:t>
      </w:r>
    </w:p>
    <w:p>
      <w:pPr>
        <w:pStyle w:val="FirstParagraph"/>
      </w:pPr>
      <w:r>
        <w:t xml:space="preserve">Yossi's 2026-05-07 review demanded "steps and expected results must be</w:t>
      </w:r>
      <w:r>
        <w:t xml:space="preserve"> </w:t>
      </w:r>
      <w:r>
        <w:t xml:space="preserve">explicit." The shape change preserves that requirement: each Setup /</w:t>
      </w:r>
      <w:r>
        <w:t xml:space="preserve"> </w:t>
      </w:r>
      <w:r>
        <w:t xml:space="preserve">Action / Verify step is now a</w:t>
      </w:r>
      <w:r>
        <w:t xml:space="preserve"> </w:t>
      </w:r>
      <w:r>
        <w:rPr>
          <w:i/>
          <w:iCs/>
        </w:rPr>
        <w:t xml:space="preserve">separate row</w:t>
      </w:r>
      <w:r>
        <w:t xml:space="preserve"> </w:t>
      </w:r>
      <w:r>
        <w:t xml:space="preserve">(more explicit, not less)</w:t>
      </w:r>
      <w:r>
        <w:t xml:space="preserve"> </w:t>
      </w:r>
      <w:r>
        <w:t xml:space="preserve">under a topic banner. The change is visual, not semantic — the codegen-</w:t>
      </w:r>
      <w:r>
        <w:t xml:space="preserve"> </w:t>
      </w:r>
      <w:r>
        <w:t xml:space="preserve">friendly per-step structure that closed Yossi's gap is preserved and</w:t>
      </w:r>
      <w:r>
        <w:t xml:space="preserve"> </w:t>
      </w:r>
      <w:r>
        <w:t xml:space="preserve">arguably sharper.</w:t>
      </w:r>
    </w:p>
    <w:bookmarkEnd w:id="35"/>
    <w:bookmarkStart w:id="36" w:name="synthesized--review-sheet-contract"/>
    <w:p>
      <w:pPr>
        <w:pStyle w:val="Heading3"/>
      </w:pPr>
      <w:r>
        <w:t xml:space="preserve">Synthesized — Review sheet contract</w:t>
      </w:r>
    </w:p>
    <w:p>
      <w:pPr>
        <w:pStyle w:val="FirstParagraph"/>
      </w:pPr>
      <w:r>
        <w:t xml:space="preserve">For every banner with provenance</w:t>
      </w:r>
      <w:r>
        <w:t xml:space="preserve"> </w:t>
      </w:r>
      <w:r>
        <w:rPr>
          <w:rStyle w:val="VerbatimChar"/>
        </w:rPr>
        <w:t xml:space="preserve">synth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cli-inherit</w:t>
      </w:r>
      <w:r>
        <w:t xml:space="preserve">, one row: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Anchor</w:t>
            </w:r>
          </w:p>
        </w:tc>
        <w:tc>
          <w:tcPr/>
          <w:p>
            <w:pPr>
              <w:pStyle w:val="Compact"/>
            </w:pPr>
            <w:r>
              <w:t xml:space="preserve">Why this row is here</w:t>
            </w:r>
          </w:p>
        </w:tc>
        <w:tc>
          <w:tcPr/>
          <w:p>
            <w:pPr>
              <w:pStyle w:val="Compact"/>
            </w:pPr>
            <w:r>
              <w:t xml:space="preserve">Recommended QA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 mandate (synth)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RFC7432bis-§10.1.1</w:t>
            </w:r>
          </w:p>
        </w:tc>
        <w:tc>
          <w:tcPr/>
          <w:p>
            <w:pPr>
              <w:pStyle w:val="Compact"/>
            </w:pPr>
            <w:r>
              <w:t xml:space="preserve">No flow in EVPN_FLOWS claimed this RFC MUST clause. Auto-synthesised so the mandate isn't silently dropped.</w:t>
            </w:r>
          </w:p>
        </w:tc>
        <w:tc>
          <w:tcPr/>
          <w:p>
            <w:pPr>
              <w:pStyle w:val="Compact"/>
            </w:pPr>
            <w:r>
              <w:t xml:space="preserve">Refine the action/monitor/expectation against actual device behaviour; if the use case applies broadly, promote to a named 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allow-as-in</w:t>
            </w:r>
          </w:p>
        </w:tc>
        <w:tc>
          <w:tcPr/>
          <w:p>
            <w:pPr>
              <w:pStyle w:val="Compact"/>
            </w:pPr>
            <w:r>
              <w:t xml:space="preserve">Sub-config inherited from parent protocol's CLI (e.g. BGP). Not documented in the EVPN CLI doc. Source:</w:t>
            </w:r>
            <w:r>
              <w:t xml:space="preserve"> 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Validate the syntax + defaults against the actual device behaviour. Replace this entry once the Exaware BGP CLI manual is integrated.</w:t>
            </w:r>
          </w:p>
        </w:tc>
      </w:tr>
    </w:tbl>
    <w:bookmarkEnd w:id="36"/>
    <w:bookmarkStart w:id="37" w:name="cache-impact"/>
    <w:p>
      <w:pPr>
        <w:pStyle w:val="Heading3"/>
      </w:pPr>
      <w:r>
        <w:t xml:space="preserve">Cache impact</w:t>
      </w:r>
    </w:p>
    <w:p>
      <w:pPr>
        <w:pStyle w:val="FirstParagraph"/>
      </w:pPr>
      <w:r>
        <w:t xml:space="preserve">Cache salt remains v3 — PlanRow shape is unchanged (decomposition</w:t>
      </w:r>
      <w:r>
        <w:t xml:space="preserve"> </w:t>
      </w:r>
      <w:r>
        <w:t xml:space="preserve">happens at render time only). The committed</w:t>
      </w:r>
      <w:r>
        <w:t xml:space="preserve"> </w:t>
      </w:r>
      <w:r>
        <w:rPr>
          <w:rStyle w:val="VerbatimChar"/>
        </w:rPr>
        <w:t xml:space="preserve">ai_cache.json</w:t>
      </w:r>
      <w:r>
        <w:t xml:space="preserve"> </w:t>
      </w:r>
      <w:r>
        <w:t xml:space="preserve">continues</w:t>
      </w:r>
      <w:r>
        <w:t xml:space="preserve"> </w:t>
      </w:r>
      <w:r>
        <w:t xml:space="preserve">to serve enriched content for the EVPN spec without re-bake. New</w:t>
      </w:r>
      <w:r>
        <w:t xml:space="preserve"> </w:t>
      </w:r>
      <w:r>
        <w:t xml:space="preserve">inherited CLI commands (the 7 BGP sub-configs) miss the cache and fall</w:t>
      </w:r>
      <w:r>
        <w:t xml:space="preserve"> </w:t>
      </w:r>
      <w:r>
        <w:t xml:space="preserve">back to rule-based PlanRow content; they enrich on the next AI bake.</w:t>
      </w:r>
    </w:p>
    <w:bookmarkEnd w:id="37"/>
    <w:bookmarkStart w:id="38" w:name="open-follow-ups-for-m2"/>
    <w:p>
      <w:pPr>
        <w:pStyle w:val="Heading3"/>
      </w:pPr>
      <w:r>
        <w:t xml:space="preserve">Open follow-ups for M2</w:t>
      </w:r>
    </w:p>
    <w:p>
      <w:pPr>
        <w:pStyle w:val="Compact"/>
        <w:numPr>
          <w:ilvl w:val="0"/>
          <w:numId w:val="1011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cli_inheritance.BGP_NEIGHBOR_AF_L2VPN_EVPN</w:t>
      </w:r>
      <w:r>
        <w:t xml:space="preserve"> </w:t>
      </w:r>
      <w:r>
        <w:t xml:space="preserve">with extracted</w:t>
      </w:r>
      <w:r>
        <w:t xml:space="preserve"> </w:t>
      </w:r>
      <w:r>
        <w:t xml:space="preserve">commands from the real Exaware BGP CLI doc when it lands.</w:t>
      </w:r>
      <w:r>
        <w:t xml:space="preserve"> </w:t>
      </w:r>
      <w:r>
        <w:rPr>
          <w:rStyle w:val="VerbatimChar"/>
        </w:rPr>
        <w:t xml:space="preserve">expand()</w:t>
      </w:r>
      <w:r>
        <w:t xml:space="preserve"> </w:t>
      </w:r>
      <w:r>
        <w:t xml:space="preserve">is idempotent on name — no other code changes required.</w:t>
      </w:r>
    </w:p>
    <w:p>
      <w:pPr>
        <w:pStyle w:val="Compact"/>
        <w:numPr>
          <w:ilvl w:val="0"/>
          <w:numId w:val="1011"/>
        </w:numPr>
      </w:pPr>
      <w:r>
        <w:t xml:space="preserve">The atomic-row decomposer mechanically splits Setup/Action/Verify</w:t>
      </w:r>
      <w:r>
        <w:t xml:space="preserve"> </w:t>
      </w:r>
      <w:r>
        <w:t xml:space="preserve">prose into rows. M2 should consider hand-curating per-flow</w:t>
      </w:r>
      <w:r>
        <w:t xml:space="preserve"> </w:t>
      </w:r>
      <w:r>
        <w:rPr>
          <w:rStyle w:val="VerbatimChar"/>
        </w:rPr>
        <w:t xml:space="preserve">atomic_steps</w:t>
      </w:r>
      <w:r>
        <w:t xml:space="preserve"> </w:t>
      </w:r>
      <w:r>
        <w:t xml:space="preserve">lists on each</w:t>
      </w:r>
      <w:r>
        <w:t xml:space="preserve"> </w:t>
      </w:r>
      <w:r>
        <w:rPr>
          <w:rStyle w:val="VerbatimChar"/>
        </w:rPr>
        <w:t xml:space="preserve">Flow</w:t>
      </w:r>
      <w:r>
        <w:t xml:space="preserve"> </w:t>
      </w:r>
      <w:r>
        <w:t xml:space="preserve">for higher-quality decomposition.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2dc09e1d60ae0cabe0592dff9173a1d1076d078"/>
    <w:p>
      <w:pPr>
        <w:pStyle w:val="Heading2"/>
      </w:pPr>
      <w:r>
        <w:t>10. RFC promoted to first-class + SFS overlay classifier (M1 client respin, 2026-05-21)</w:t>
      </w:r>
    </w:p>
    <w:p>
      <w:pPr>
        <w:pStyle w:val="Heading3"/>
      </w:pPr>
      <w:r>
        <w:t>Why</w:t>
      </w:r>
    </w:p>
    <w:p>
      <w:pPr>
        <w:pStyle w:val="FirstParagraph"/>
      </w:pPr>
      <w:r>
        <w:t>Yossi (Axawear) raised two related concerns on 2026-05-21:</w:t>
      </w:r>
    </w:p>
    <w:p>
      <w:pPr>
        <w:pStyle w:val="Compact"/>
      </w:pPr>
      <w:r>
        <w:t>RFC as first-class source. The SFS deliberately omits requirements that are defined in the RFC standard. The previous pipeline routed unclaimed-by-flows RFC mandates to a separate "Synthesized — Review" sheet with a yellow "review me" banner, which made the deliverable look like RFC requirements were second-class auto-guesses. The TP must test those RFC clauses with the same rigour as flow-anchored rows.</w:t>
      </w:r>
    </w:p>
    <w:p>
      <w:pPr>
        <w:pStyle w:val="Compact"/>
      </w:pPr>
      <w:r>
        <w:t>SFS as overlay on RFC, not flat sibling. A QA engineer reads the SFS as an overlay on the RFC — it points at which RFCs to read, lists deltas (where vendor differs from RFC), and lists overlays (vendor-added constraints). The previous pipeline did flat-union extraction with no relationship tracking, so a delta SFS req appeared as just another row alongside the RFC base — no visible "this overrides RFC §X" signal.</w:t>
      </w:r>
    </w:p>
    <w:p>
      <w:pPr>
        <w:pStyle w:val="Heading3"/>
      </w:pPr>
      <w:r>
        <w:t>What changed — RFC promotion to main sheet (morning)</w:t>
      </w:r>
    </w:p>
    <w:p>
      <w:pPr>
        <w:pStyle w:val="Compact"/>
      </w:pPr>
      <w:r>
        <w:t>ate/planner/generator.py — added _planrow_for_rfc_orphan(). RFC reqs no flow claims become first-class PlanRows that flow through the enricher (previously they bypassed it via direct AtomicRow synthesis).</w:t>
      </w:r>
    </w:p>
    <w:p>
      <w:pPr>
        <w:pStyle w:val="Compact"/>
      </w:pPr>
      <w:r>
        <w:t>ate/planner/xlsx_writer.py — deleted _write_synth_review_sheet() entirely. RFC-mandate rows land on the main sheet with a green tint (RFC_FILL = D4EDDA) and Comment column reads "RFC mandate" (not "synthesized — review").</w:t>
      </w:r>
    </w:p>
    <w:p>
      <w:pPr>
        <w:pStyle w:val="Compact"/>
      </w:pPr>
      <w:r>
        <w:t>New coverage assertion in generate_plan() — raises ValueError if any extracted RFC req has zero PlanRows referencing it. Guards against silent drops going forward.</w:t>
      </w:r>
    </w:p>
    <w:p>
      <w:pPr>
        <w:pStyle w:val="Compact"/>
      </w:pPr>
      <w:r>
        <w:t>_INTENTIONAL_ORPHANS dropped its RFC §10.1.1 entry — no more "out of M1 scope" exemption for RFC clauses; every MUST gets a row.</w:t>
      </w:r>
    </w:p>
    <w:p>
      <w:pPr>
        <w:pStyle w:val="Compact"/>
      </w:pPr>
      <w:r>
        <w:t>Cache salt v3 → v4.</w:t>
      </w:r>
    </w:p>
    <w:p>
      <w:pPr>
        <w:pStyle w:val="Heading3"/>
      </w:pPr>
      <w:r>
        <w:t>What changed — SFS-vs-RFC overlay classifier (afternoon)</w:t>
      </w:r>
    </w:p>
    <w:p>
      <w:pPr>
        <w:pStyle w:val="Compact"/>
      </w:pPr>
      <w:r>
        <w:t>ate/planner/req_classifier.py — new module. Rule-based classifier sets kind ∈ {base_sfs, delta, overlay, pointer, sfs_with_rfc_context, rfc, cli} and rfc_links (RFC req_ids resolved against the extracted catalog; references to sections we didn't extract are dropped, never fabricated).</w:t>
      </w:r>
    </w:p>
    <w:p>
      <w:pPr>
        <w:pStyle w:val="Compact"/>
      </w:pPr>
      <w:r>
        <w:t>ate/planner/model.py — Requirement gains kind and rfc_links fields.</w:t>
      </w:r>
    </w:p>
    <w:p>
      <w:pPr>
        <w:pStyle w:val="Compact"/>
      </w:pPr>
      <w:r>
        <w:t>ate/planner/requirements_builder.py — invokes classify_all() after merging SFS + RFC + CLI anchors.</w:t>
      </w:r>
    </w:p>
    <w:p>
      <w:pPr>
        <w:pStyle w:val="Compact"/>
      </w:pPr>
      <w:r>
        <w:t>ate/planner/ai_enricher.py — prompt template gains a Kind line, an RFC links line, and a relationship_block section emitting per-kind guidance: delta = "test the SFS modification, not the RFC base; reference the RFC clause being overridden"; overlay = "test the added constraint, RFC base is assumed"; pointer = "keep the row brief; the detailed test lives in the RFC row"; sfs_with_rfc_context = "RFC ref is background; test the SFS content as primary". The prompt also injects the linked RFC base text (must_statements from rfc_link reqs) so the AI can write a delta row that explicitly contrasts SFS modification against the RFC clause.</w:t>
      </w:r>
    </w:p>
    <w:p>
      <w:pPr>
        <w:pStyle w:val="Compact"/>
      </w:pPr>
      <w:r>
        <w:t>ate/planner/xlsx_writer.py — _provenance_for_row() reads the anchor SFS req's kind and writes Comment-column markers like "delta from RFC7432bis-§8.7" / "pointer to RFC7432bis-§9.2" / "overlay on RFC...".</w:t>
      </w:r>
    </w:p>
    <w:p>
      <w:pPr>
        <w:pStyle w:val="Compact"/>
      </w:pPr>
      <w:r>
        <w:t>Cache salt v4 → v5. The v5 row key also includes req.kind so a reclassification (heuristic tuning, new cues) invalidates only the affected rows.</w:t>
      </w:r>
    </w:p>
    <w:p>
      <w:pPr>
        <w:pStyle w:val="Heading3"/>
      </w:pPr>
      <w:r>
        <w:t>EVPN classifier snapshot</w:t>
      </w:r>
    </w:p>
    <w:p>
      <w:pPr>
        <w:pStyle w:val="FirstParagraph"/>
      </w:pPr>
      <w:r>
        <w:t>Out of 40 SFS reqs in EVPN (plus 46 RFC + 44 CLI): 16 base_sfs, 11 sfs_with_rfc_context, 9 pointer, 4 delta, 0 overlay. REQ#190 and REQ#220 (both "the document replaces SHOULD to MUST in the second rule") caught as textbook deltas. After flow fan-out the main sheet renders 108 delta marker rows + 122 pointer marker rows + 93 CLI inheritance + 3 RFC mandate.</w:t>
      </w:r>
    </w:p>
    <w:p>
      <w:pPr>
        <w:pStyle w:val="Heading3"/>
      </w:pPr>
      <w:r>
        <w:t>Cache impact</w:t>
      </w:r>
    </w:p>
    <w:p>
      <w:pPr>
        <w:pStyle w:val="FirstParagraph"/>
      </w:pPr>
      <w:r>
        <w:t>Cache salt incremented twice on 2026-05-21: v3 → v4 (RFC promotion) → v5 (kind + rfc_links prompt). Full re-bake started 2026-05-21 11:24 against v5. The v3 snapshot is preserved at ate/planner/ai_cache.pre-yossi-respin.bak for rollback.</w:t>
      </w:r>
    </w:p>
    <w:p>
      <w:pPr>
        <w:pStyle w:val="Heading3"/>
      </w:pPr>
      <w:r>
        <w:t>Open follow-ups for M2</w:t>
      </w:r>
    </w:p>
    <w:p>
      <w:pPr>
        <w:pStyle w:val="Compact"/>
      </w:pPr>
      <w:r>
        <w:t>Classifier heuristics tuned against EVPN SFS only — 0 overlay matches in EVPN is plausible for this feature but should be re-validated as we ingest more features (MPLS-TE, OSPF, ...). The "overlay" cue list (in addition to, extends, ...) may need expansion.</w:t>
      </w:r>
    </w:p>
    <w:p>
      <w:pPr>
        <w:pStyle w:val="Compact"/>
      </w:pPr>
      <w:r>
        <w:t>rfc_links resolution drops references to RFC sections the rfc_extractor didn't materialise as separate reqs (umbrella chapters whose body is a short intro before the real normative content begins in the children). Worth surfacing these as "links to RFC chapter X (parent of extracted §X.1, §X.2)" so QA traceability isn't lost.</w:t>
      </w:r>
    </w:p>
    <w:p>
      <w:pPr>
        <w:pStyle w:val="Compact"/>
      </w:pPr>
      <w:r>
        <w:t>Delta detection is keyword-driven; an LLM-based classifier pass would catch deltas the keyword cues miss (e.g. "the device behaves as if X were true" without using "instead of"). Reserved for M3.</w:t>
      </w:r>
    </w:p>
    <w:p>
      <w:pPr>
        <w:pStyle w:val="Heading2"/>
      </w:pPr>
      <w:r>
        <w:t>11. Base + extension document model (Command Reference Guide ingest, 2026-07-13)</w:t>
      </w:r>
    </w:p>
    <w:p>
      <w:pPr>
        <w:pStyle w:val="Heading3"/>
      </w:pPr>
      <w:r>
        <w:t>Why</w:t>
      </w:r>
    </w:p>
    <w:p>
      <w:pPr>
        <w:pStyle w:val="FirstParagraph"/>
      </w:pPr>
      <w:r>
        <w:t>Section 9's open follow-up for M2 (“Replace cli_inheritance.BGP_NEIGHBOR_AF_L2VPN_EVPN with extracted commands from the real Exaware BGP CLI doc when available”) is now actionable. On 2026-07-13 Exaware shared references/EVPN/Command Reference Guide v8.X.0.pdf — the full-platform CLI reference (1577 pp). It reframes the input model from a single feature doc plus hand-curated guesses into a two-layer base + extension corpus.</w:t>
      </w:r>
    </w:p>
    <w:p>
      <w:pPr>
        <w:pStyle w:val="Heading3"/>
      </w:pPr>
      <w:r>
        <w:t>The two-layer input model</w:t>
      </w:r>
    </w:p>
    <w:p>
      <w:pPr>
        <w:pStyle w:val="Compact"/>
      </w:pPr>
      <w:r>
        <w:t>Base — Command Reference Guide (PDF). The full-platform CLI. Owns the authoritative grammar: syntax, value ranges, defaults, command modes and per-command SAFI applicability for the generic BGP-neighbor commands EVPN inherits (allow-as-in, capability, inbound-soft-reconfiguration, maximum-prefix, policy, private-as, route-reflector-client).</w:t>
      </w:r>
    </w:p>
    <w:p>
      <w:pPr>
        <w:pStyle w:val="Compact"/>
      </w:pPr>
      <w:r>
        <w:t>Extension — EVPN CLI 1.00.docx + EVPN System Specification 1.00.docx. The EVPN delta layered on the base. Owns EVPN scope and feature semantics: EVPN-specific commands, which base knobs the af-l2vpn evpn submode pulls in, and the RFC/behavioural MUSTs.</w:t>
      </w:r>
    </w:p>
    <w:p>
      <w:pPr>
        <w:pStyle w:val="FirstParagraph"/>
      </w:pPr>
      <w:r>
        <w:t>This replaces the hand-curated guesses in cli_inheritance.py (and the deinvent() coarsening that Eyal Ozeri's 2026-07-06 review forced) with doc-grounded values. The base grounds the how; the extension grounds the whether/why. A new base-CLI provenance (“CLI base — Command Reference Guide §X”) replaces cli-inherit, and cli_crosscheck moves these commands from the curated bucket to doc_grounded.</w:t>
      </w:r>
    </w:p>
    <w:p>
      <w:pPr>
        <w:pStyle w:val="Heading3"/>
      </w:pPr>
      <w:r>
        <w:t>Needed document structure (what the pipeline requires from each source)</w:t>
      </w:r>
    </w:p>
    <w:p>
      <w:pPr>
        <w:pStyle w:val="FirstParagraph"/>
      </w:pPr>
      <w:r>
        <w:t>For the base + extension merge to be machine-ingestible without AI, every command in both the base and the extension docs must keep the fixed command-table shape cli_extractor already parses. Exaware should preserve this structure in future revisions of the Command Reference Guide: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Table row label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Content the pipeline reads</w:t>
            </w:r>
          </w:p>
        </w:tc>
      </w:tr>
      <w:tr>
        <w:tc>
          <w:tcPr>
            <w:tcW w:type="dxa" w:w="4680"/>
          </w:tcPr>
          <w:p>
            <w:r/>
            <w:r>
              <w:t>Description</w:t>
            </w:r>
          </w:p>
        </w:tc>
        <w:tc>
          <w:tcPr>
            <w:tcW w:type="dxa" w:w="4680"/>
          </w:tcPr>
          <w:p>
            <w:r/>
            <w:r>
              <w:t>Purpose prose; default-behaviour phrases (“the default is …”).</w:t>
            </w:r>
          </w:p>
        </w:tc>
      </w:tr>
      <w:tr>
        <w:tc>
          <w:tcPr>
            <w:tcW w:type="dxa" w:w="4680"/>
          </w:tcPr>
          <w:p>
            <w:r/>
            <w:r>
              <w:t>Command Syntax</w:t>
            </w:r>
          </w:p>
        </w:tc>
        <w:tc>
          <w:tcPr>
            <w:tcW w:type="dxa" w:w="4680"/>
          </w:tcPr>
          <w:p>
            <w:r/>
            <w:r>
              <w:t>Command-line syntax including the no form; may be multi-line.</w:t>
            </w:r>
          </w:p>
        </w:tc>
      </w:tr>
      <w:tr>
        <w:tc>
          <w:tcPr>
            <w:tcW w:type="dxa" w:w="4680"/>
          </w:tcPr>
          <w:p>
            <w:r/>
            <w:r>
              <w:t>Command Mode</w:t>
            </w:r>
          </w:p>
        </w:tc>
        <w:tc>
          <w:tcPr>
            <w:tcW w:type="dxa" w:w="4680"/>
          </w:tcPr>
          <w:p>
            <w:r/>
            <w:r>
              <w:t>Mode hierarchy; may list several parents (e.g. neighbor afi safi AND neighbor-group afi safi — both must be kept).</w:t>
            </w:r>
          </w:p>
        </w:tc>
      </w:tr>
      <w:tr>
        <w:tc>
          <w:tcPr>
            <w:tcW w:type="dxa" w:w="4680"/>
          </w:tcPr>
          <w:p>
            <w:r/>
            <w:r>
              <w:t>Parameters Table</w:t>
            </w:r>
          </w:p>
        </w:tc>
        <w:tc>
          <w:tcPr>
            <w:tcW w:type="dxa" w:w="4680"/>
          </w:tcPr>
          <w:p>
            <w:r/>
            <w:r>
              <w:t>Header Name | Value | Description, then one row per parameter. Ranges as “1-10” / “0- 4294967295”; defaults as “(Default = X)”.</w:t>
            </w:r>
          </w:p>
        </w:tc>
      </w:tr>
      <w:tr>
        <w:tc>
          <w:tcPr>
            <w:tcW w:type="dxa" w:w="4680"/>
          </w:tcPr>
          <w:p>
            <w:r/>
            <w:r>
              <w:t>Examples</w:t>
            </w:r>
          </w:p>
        </w:tc>
        <w:tc>
          <w:tcPr>
            <w:tcW w:type="dxa" w:w="4680"/>
          </w:tcPr>
          <w:p>
            <w:r/>
            <w:r>
              <w:t>A CLI session illustrating the command.</w:t>
            </w:r>
          </w:p>
        </w:tc>
      </w:tr>
      <w:tr>
        <w:tc>
          <w:tcPr>
            <w:tcW w:type="dxa" w:w="4680"/>
          </w:tcPr>
          <w:p>
            <w:r/>
            <w:r>
              <w:t>Notes</w:t>
            </w:r>
          </w:p>
        </w:tc>
        <w:tc>
          <w:tcPr>
            <w:tcW w:type="dxa" w:w="4680"/>
          </w:tcPr>
          <w:p>
            <w:r/>
            <w:r>
              <w:t>Constraints, SAFI availability (“only available under unicast SAFI …”), mutex rules, prerequisites.</w:t>
            </w:r>
          </w:p>
        </w:tc>
      </w:tr>
    </w:tbl>
    <w:p>
      <w:pPr>
        <w:pStyle w:val="Compact"/>
      </w:pPr>
    </w:p>
    <w:p>
      <w:pPr>
        <w:pStyle w:val="FirstParagraph"/>
      </w:pPr>
      <w:r>
        <w:t>Structural requirements specific to the PDF base so it ingests cleanly:</w:t>
      </w:r>
    </w:p>
    <w:p>
      <w:pPr>
        <w:pStyle w:val="Compact"/>
      </w:pPr>
      <w:r>
        <w:t>The label column and value column must stay distinct table cells (the IR PDF path uses page.find_tables(); pdftotext -layout confirms the two-column split survives).</w:t>
      </w:r>
    </w:p>
    <w:p>
      <w:pPr>
        <w:pStyle w:val="Compact"/>
      </w:pPr>
      <w:r>
        <w:t>SAFI / submode applicability must appear in Notes or as an “options depend on submode” bullet. capability documents graceful-restart + orf only under the afi/safi submode — this is the exact signal the extension layer uses to decide EVPN applicability.</w:t>
      </w:r>
    </w:p>
    <w:p>
      <w:pPr>
        <w:pStyle w:val="Compact"/>
      </w:pPr>
      <w:r>
        <w:t>Command-mode cells must token-align so the base's generic “neighbor afi safi” maps onto the extension's “af-l2vpn evpn” submode.</w:t>
      </w:r>
    </w:p>
    <w:p>
      <w:pPr>
        <w:pStyle w:val="Heading3"/>
      </w:pPr>
      <w:r>
        <w:t>Cross result — base ↔ extension, 7 inherited knobs</w:t>
      </w:r>
    </w:p>
    <w:p>
      <w:pPr>
        <w:pStyle w:val="FirstParagraph"/>
      </w:pPr>
      <w:r>
        <w:t>All 7 hand-curated knobs are real commands in the base, and all 7 carried at least one invented element now corrected against the source. This vindicates the 2026-07-06 de-invention decision and lets the deliverable assert sourced grammar again: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Knob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Base (Command Reference Guide) — authoritative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Was (hand-curated guess) — corrected</w:t>
            </w:r>
          </w:p>
        </w:tc>
      </w:tr>
      <w:tr>
        <w:tc>
          <w:tcPr>
            <w:tcW w:type="dxa" w:w="3120"/>
          </w:tcPr>
          <w:p>
            <w:r/>
            <w:r>
              <w:t>allow-as-in</w:t>
            </w:r>
          </w:p>
        </w:tc>
        <w:tc>
          <w:tcPr>
            <w:tcW w:type="dxa" w:w="3120"/>
          </w:tcPr>
          <w:p>
            <w:r/>
            <w:r>
              <w:t>allow-as-in number (1-10); Notes: only under unicast SAFI, VRF default, VPN SAFI</w:t>
            </w:r>
          </w:p>
        </w:tc>
        <w:tc>
          <w:tcPr>
            <w:tcW w:type="dxa" w:w="3120"/>
          </w:tcPr>
          <w:p>
            <w:r/>
            <w:r>
              <w:t>[&lt;count&gt;] 1..10, default 3 (invented); EVPN applicability now in question</w:t>
            </w:r>
          </w:p>
        </w:tc>
      </w:tr>
      <w:tr>
        <w:tc>
          <w:tcPr>
            <w:tcW w:type="dxa" w:w="3120"/>
          </w:tcPr>
          <w:p>
            <w:r/>
            <w:r>
              <w:t>capability</w:t>
            </w:r>
          </w:p>
        </w:tc>
        <w:tc>
          <w:tcPr>
            <w:tcW w:type="dxa" w:w="3120"/>
          </w:tcPr>
          <w:p>
            <w:r/>
            <w:r>
              <w:t>options depend on submode; afi/safi submode → graceful-restart {enable|disable} and orf {both|disable|receive|send}</w:t>
            </w:r>
          </w:p>
        </w:tc>
        <w:tc>
          <w:tcPr>
            <w:tcW w:type="dxa" w:w="3120"/>
          </w:tcPr>
          <w:p>
            <w:r/>
            <w:r>
              <w:t>orf-prefix-list send|receive|both | route-refresh (invented enumeration)</w:t>
            </w:r>
          </w:p>
        </w:tc>
      </w:tr>
      <w:tr>
        <w:tc>
          <w:tcPr>
            <w:tcW w:type="dxa" w:w="3120"/>
          </w:tcPr>
          <w:p>
            <w:r/>
            <w:r>
              <w:t>inbound-soft-reconfiguration</w:t>
            </w:r>
          </w:p>
        </w:tc>
        <w:tc>
          <w:tcPr>
            <w:tcW w:type="dxa" w:w="3120"/>
          </w:tcPr>
          <w:p>
            <w:r/>
            <w:r>
              <w:t>inbound-soft-reconfiguration [enable|disable]; default disable</w:t>
            </w:r>
          </w:p>
        </w:tc>
        <w:tc>
          <w:tcPr>
            <w:tcW w:type="dxa" w:w="3120"/>
          </w:tcPr>
          <w:p>
            <w:r/>
            <w:r>
              <w:t>bare toggle (enable/disable argument missed)</w:t>
            </w:r>
          </w:p>
        </w:tc>
      </w:tr>
      <w:tr>
        <w:tc>
          <w:tcPr>
            <w:tcW w:type="dxa" w:w="3120"/>
          </w:tcPr>
          <w:p>
            <w:r/>
            <w:r>
              <w:t>maximum-prefix</w:t>
            </w:r>
          </w:p>
        </w:tc>
        <w:tc>
          <w:tcPr>
            <w:tcW w:type="dxa" w:w="3120"/>
          </w:tcPr>
          <w:p>
            <w:r/>
            <w:r>
              <w:t>maximum-prefix number &lt;max&gt; threshold &lt;percent&gt; action [warn|terminate]; max 0-4294967295 default 2097152, percent 1-100 default 75, action default warn</w:t>
            </w:r>
          </w:p>
        </w:tc>
        <w:tc>
          <w:tcPr>
            <w:tcW w:type="dxa" w:w="3120"/>
          </w:tcPr>
          <w:p>
            <w:r/>
            <w:r>
              <w:t>&lt;max&gt; [&lt;pct&gt; [warning-only|restart &lt;interval&gt;]], default no limit (grammar and default invented)</w:t>
            </w:r>
          </w:p>
        </w:tc>
      </w:tr>
      <w:tr>
        <w:tc>
          <w:tcPr>
            <w:tcW w:type="dxa" w:w="3120"/>
          </w:tcPr>
          <w:p>
            <w:r/>
            <w:r>
              <w:t>policy</w:t>
            </w:r>
          </w:p>
        </w:tc>
        <w:tc>
          <w:tcPr>
            <w:tcW w:type="dxa" w:w="3120"/>
          </w:tcPr>
          <w:p>
            <w:r/>
            <w:r>
              <w:t>policy {in|out} policy-name (direction then name)</w:t>
            </w:r>
          </w:p>
        </w:tc>
        <w:tc>
          <w:tcPr>
            <w:tcW w:type="dxa" w:w="3120"/>
          </w:tcPr>
          <w:p>
            <w:r/>
            <w:r>
              <w:t>policy &lt;policy-name&gt; {in|out} (argument order reversed)</w:t>
            </w:r>
          </w:p>
        </w:tc>
      </w:tr>
      <w:tr>
        <w:tc>
          <w:tcPr>
            <w:tcW w:type="dxa" w:w="3120"/>
          </w:tcPr>
          <w:p>
            <w:r/>
            <w:r>
              <w:t>private-as</w:t>
            </w:r>
          </w:p>
        </w:tc>
        <w:tc>
          <w:tcPr>
            <w:tcW w:type="dxa" w:w="3120"/>
          </w:tcPr>
          <w:p>
            <w:r/>
            <w:r>
              <w:t>private-as [remove|leave]; default leave</w:t>
            </w:r>
          </w:p>
        </w:tc>
        <w:tc>
          <w:tcPr>
            <w:tcW w:type="dxa" w:w="3120"/>
          </w:tcPr>
          <w:p>
            <w:r/>
            <w:r>
              <w:t>private-as {remove|replace} (“replace” invented; real is “leave”)</w:t>
            </w:r>
          </w:p>
        </w:tc>
      </w:tr>
      <w:tr>
        <w:tc>
          <w:tcPr>
            <w:tcW w:type="dxa" w:w="3120"/>
          </w:tcPr>
          <w:p>
            <w:r/>
            <w:r>
              <w:t>route-reflector-client</w:t>
            </w:r>
          </w:p>
        </w:tc>
        <w:tc>
          <w:tcPr>
            <w:tcW w:type="dxa" w:w="3120"/>
          </w:tcPr>
          <w:p>
            <w:r/>
            <w:r>
              <w:t>route-reflector-client [enable|disable]; default disable</w:t>
            </w:r>
          </w:p>
        </w:tc>
        <w:tc>
          <w:tcPr>
            <w:tcW w:type="dxa" w:w="3120"/>
          </w:tcPr>
          <w:p>
            <w:r/>
            <w:r>
              <w:t>bare toggle (enable/disable argument missed)</w:t>
            </w:r>
          </w:p>
        </w:tc>
      </w:tr>
    </w:tbl>
    <w:p>
      <w:pPr>
        <w:pStyle w:val="Compact"/>
      </w:pPr>
    </w:p>
    <w:p>
      <w:pPr>
        <w:pStyle w:val="Heading3"/>
      </w:pPr>
      <w:r>
        <w:t>Open items</w:t>
      </w:r>
    </w:p>
    <w:p>
      <w:pPr>
        <w:pStyle w:val="Compact"/>
      </w:pPr>
      <w:r>
        <w:t>allow-as-in's Notes restrict it to unicast + VPN SAFI. Before we keep its af-l2vpn evpn row, the extension (EVPN CLI doc / SFS) or Eyal must confirm EVPN applicability — the base+extension cross turns this from an assumption into a sourced question.</w:t>
      </w:r>
    </w:p>
    <w:p>
      <w:pPr>
        <w:pStyle w:val="Compact"/>
      </w:pPr>
      <w:r>
        <w:t>Add a scoped PDF-section ingest path: the CRG is 1577 pp but only ~15 BGP-neighbor sections (10.2.1.x) are in scope. cli_extractor should accept a section allow-list rather than parsing the whole book.</w:t>
      </w:r>
    </w:p>
    <w:p>
      <w:pPr>
        <w:pStyle w:val="Compact"/>
      </w:pPr>
      <w:r>
        <w:t>Once extracted commands land, drop cli_inheritance.deinvent() — the base carries true grammar and needs no de-invention.</w:t>
      </w:r>
    </w:p>
    <w:p>
      <w:pPr>
        <w:pStyle w:val="Heading2"/>
      </w:pPr>
      <w:r>
        <w:t xml:space="preserve">6. Open questions to resolve before M2 / M3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M1 blockers. Listed here so M2 doesn't start cold. Updated for SOW PQ4476E.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2–3 additional Exaware spec samples to stress the requirement extractor across product lines</w:t>
            </w:r>
          </w:p>
        </w:tc>
        <w:tc>
          <w:tcPr/>
          <w:p>
            <w:pPr>
              <w:pStyle w:val="Compact"/>
            </w:pPr>
            <w:r>
              <w:t xml:space="preserve">Codevalue → Exaware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Canonical regex(es) for Exaware requirement IDs across product lines (</w:t>
            </w:r>
            <w:r>
              <w:rPr>
                <w:rStyle w:val="VerbatimChar"/>
              </w:rPr>
              <w:t xml:space="preserve">EVPNS-REQ#NN</w:t>
            </w:r>
            <w:r>
              <w:t xml:space="preserve"> </w:t>
            </w:r>
            <w:r>
              <w:t xml:space="preserve">is one of many)</w:t>
            </w:r>
          </w:p>
        </w:tc>
        <w:tc>
          <w:tcPr/>
          <w:p>
            <w:pPr>
              <w:pStyle w:val="Compact"/>
            </w:pPr>
            <w:r>
              <w:t xml:space="preserve">Exaware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What does the "dirty queue" workflow look like — how does Exaware select tests? UI? CLI flag?</w:t>
            </w:r>
          </w:p>
        </w:tc>
        <w:tc>
          <w:tcPr/>
          <w:p>
            <w:pPr>
              <w:pStyle w:val="Compact"/>
            </w:pPr>
            <w:r>
              <w:t xml:space="preserve">Exaware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Cloud LLM (OpenAI / Anthropic Claude) acceptable per SOW deployment note; confirm Claude API key budget + rate limit</w:t>
            </w:r>
          </w:p>
        </w:tc>
        <w:tc>
          <w:tcPr/>
          <w:p>
            <w:pPr>
              <w:pStyle w:val="Compact"/>
            </w:pPr>
            <w:r>
              <w:t xml:space="preserve">Exaware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Multi-router topology format — how is router topology described in inputs vs the plan output?</w:t>
            </w:r>
          </w:p>
        </w:tc>
        <w:tc>
          <w:tcPr/>
          <w:p>
            <w:pPr>
              <w:pStyle w:val="Compact"/>
            </w:pPr>
            <w:r>
              <w:t xml:space="preserve">Exaware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Two human-written reference test plans for AI quality benchmarking</w:t>
            </w:r>
          </w:p>
        </w:tc>
        <w:tc>
          <w:tcPr/>
          <w:p>
            <w:pPr>
              <w:pStyle w:val="Compact"/>
            </w:pPr>
            <w:r>
              <w:t xml:space="preserve">Exaware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Methodology to measure "40–50% effort reduction" claim (engineer-time tracking on N features)</w:t>
            </w:r>
          </w:p>
        </w:tc>
        <w:tc>
          <w:tcPr/>
          <w:p>
            <w:pPr>
              <w:pStyle w:val="Compact"/>
            </w:pPr>
            <w:r>
              <w:t xml:space="preserve">Codevalue draft → Exaware confirm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IXIA Router Simulator</w:t>
            </w:r>
            <w:r>
              <w:t xml:space="preserve">: API to integrate with (per SOW §3 the details are to be defined "in collaboration with Exaware automation lead during M1–M2")</w:t>
            </w:r>
          </w:p>
        </w:tc>
        <w:tc>
          <w:tcPr/>
          <w:p>
            <w:pPr>
              <w:pStyle w:val="Compact"/>
            </w:pPr>
            <w:r>
              <w:t xml:space="preserve">Exaware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JSystem framework</w:t>
            </w:r>
            <w:r>
              <w:t xml:space="preserve">: version, conventions, existing test class hierarchy that generated tests should plug into</w:t>
            </w:r>
          </w:p>
        </w:tc>
        <w:tc>
          <w:tcPr/>
          <w:p>
            <w:pPr>
              <w:pStyle w:val="Compact"/>
            </w:pPr>
            <w:r>
              <w:t xml:space="preserve">Exaware automation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Neighboring Router</w:t>
            </w:r>
            <w:r>
              <w:t xml:space="preserve"> </w:t>
            </w:r>
            <w:r>
              <w:t xml:space="preserve">test fixtures: mocked? real device? containerlab profile?</w:t>
            </w:r>
          </w:p>
        </w:tc>
        <w:tc>
          <w:tcPr/>
          <w:p>
            <w:pPr>
              <w:pStyle w:val="Compact"/>
            </w:pPr>
            <w:r>
              <w:t xml:space="preserve">Exaware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On-premises hardware ready (HP Z2 Mini per SOW BOM, customer-purchased)?</w:t>
            </w:r>
          </w:p>
        </w:tc>
        <w:tc>
          <w:tcPr/>
          <w:p>
            <w:pPr>
              <w:pStyle w:val="Compact"/>
            </w:pPr>
            <w:r>
              <w:t xml:space="preserve">Exaware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User documentation language preferences (English only / English + Hebrew)?</w:t>
            </w:r>
          </w:p>
        </w:tc>
        <w:tc>
          <w:tcPr/>
          <w:p>
            <w:pPr>
              <w:pStyle w:val="Compact"/>
            </w:pPr>
            <w:r>
              <w:t xml:space="preserve">Exaware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819c46266b96183d3383e3924cf61905077cce2"/>
    <w:p>
      <w:pPr>
        <w:pStyle w:val="Heading2"/>
      </w:pPr>
      <w:r>
        <w:t xml:space="preserve">7. Repository layout</w:t>
      </w:r>
    </w:p>
    <w:p>
      <w:pPr>
        <w:pStyle w:val="SourceCode"/>
      </w:pPr>
      <w:r>
        <w:rPr>
          <w:rStyle w:val="VerbatimChar"/>
        </w:rPr>
        <w:t xml:space="preserve">ate/</w:t>
      </w:r>
      <w:r>
        <w:br/>
      </w:r>
      <w:r>
        <w:rPr>
          <w:rStyle w:val="VerbatimChar"/>
        </w:rPr>
        <w:t xml:space="preserve">├── ate/                          package source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cli.py                    `ate parse &lt;file&gt;` + `ate plan &lt;file&gt;`</w:t>
      </w:r>
      <w:r>
        <w:br/>
      </w:r>
      <w:r>
        <w:rPr>
          <w:rStyle w:val="VerbatimChar"/>
        </w:rPr>
        <w:t xml:space="preserve">│   ├── ir.py                     Pydantic IR models for parsed docs</w:t>
      </w:r>
      <w:r>
        <w:br/>
      </w:r>
      <w:r>
        <w:rPr>
          <w:rStyle w:val="VerbatimChar"/>
        </w:rPr>
        <w:t xml:space="preserve">│   ├── errors.py                 typed exception hierarchy</w:t>
      </w:r>
      <w:r>
        <w:br/>
      </w:r>
      <w:r>
        <w:rPr>
          <w:rStyle w:val="VerbatimChar"/>
        </w:rPr>
        <w:t xml:space="preserve">│   ├── normalize.py              cross-format parity normalization</w:t>
      </w:r>
      <w:r>
        <w:br/>
      </w:r>
      <w:r>
        <w:rPr>
          <w:rStyle w:val="VerbatimChar"/>
        </w:rPr>
        <w:t xml:space="preserve">│   ├── parsers/</w:t>
      </w:r>
      <w:r>
        <w:br/>
      </w:r>
      <w:r>
        <w:rPr>
          <w:rStyle w:val="VerbatimChar"/>
        </w:rPr>
        <w:t xml:space="preserve">│   │   ├── dispatch.py           format detection + routing</w:t>
      </w:r>
      <w:r>
        <w:br/>
      </w:r>
      <w:r>
        <w:rPr>
          <w:rStyle w:val="VerbatimChar"/>
        </w:rPr>
        <w:t xml:space="preserve">│   │   ├── docx_parser.py</w:t>
      </w:r>
      <w:r>
        <w:br/>
      </w:r>
      <w:r>
        <w:rPr>
          <w:rStyle w:val="VerbatimChar"/>
        </w:rPr>
        <w:t xml:space="preserve">│   │   ├── pdf_parser.py</w:t>
      </w:r>
      <w:r>
        <w:br/>
      </w:r>
      <w:r>
        <w:rPr>
          <w:rStyle w:val="VerbatimChar"/>
        </w:rPr>
        <w:t xml:space="preserve">│   │   └── txt_parser.py</w:t>
      </w:r>
      <w:r>
        <w:br/>
      </w:r>
      <w:r>
        <w:rPr>
          <w:rStyle w:val="VerbatimChar"/>
        </w:rPr>
        <w:t xml:space="preserve">│   └── planner/                  ★ NEW for M1 (PQ4476E)</w:t>
      </w:r>
      <w:r>
        <w:br/>
      </w:r>
      <w:r>
        <w:rPr>
          <w:rStyle w:val="VerbatimChar"/>
        </w:rPr>
        <w:t xml:space="preserve">│       ├── model.py              Plan, PlanRow, Requirement Pydantic models</w:t>
      </w:r>
      <w:r>
        <w:br/>
      </w:r>
      <w:r>
        <w:rPr>
          <w:rStyle w:val="VerbatimChar"/>
        </w:rPr>
        <w:t xml:space="preserve">│       ├── extractor.py          extract requirements from IR</w:t>
      </w:r>
      <w:r>
        <w:br/>
      </w:r>
      <w:r>
        <w:rPr>
          <w:rStyle w:val="VerbatimChar"/>
        </w:rPr>
        <w:t xml:space="preserve">│       ├── categories.py         category + sub-test templates</w:t>
      </w:r>
      <w:r>
        <w:br/>
      </w:r>
      <w:r>
        <w:rPr>
          <w:rStyle w:val="VerbatimChar"/>
        </w:rPr>
        <w:t xml:space="preserve">│       ├── generator.py          IR → Plan model (scaffold → enricher)</w:t>
      </w:r>
      <w:r>
        <w:br/>
      </w:r>
      <w:r>
        <w:rPr>
          <w:rStyle w:val="VerbatimChar"/>
        </w:rPr>
        <w:t xml:space="preserve">│       ├── ai_enricher.py        Claude (Anthropic) integration with cache</w:t>
      </w:r>
      <w:r>
        <w:br/>
      </w:r>
      <w:r>
        <w:rPr>
          <w:rStyle w:val="VerbatimChar"/>
        </w:rPr>
        <w:t xml:space="preserve">│       ├── ai_cache.json         Committed AI-enriched rows (100% EVPN coverage)</w:t>
      </w:r>
      <w:r>
        <w:br/>
      </w:r>
      <w:r>
        <w:rPr>
          <w:rStyle w:val="VerbatimChar"/>
        </w:rPr>
        <w:t xml:space="preserve">│       └── xlsx_writer.py        Plan → xlsx matching Exaware template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verify_env.py       dev environment health check</w:t>
      </w:r>
      <w:r>
        <w:br/>
      </w:r>
      <w:r>
        <w:rPr>
          <w:rStyle w:val="VerbatimChar"/>
        </w:rPr>
        <w:t xml:space="preserve">│   ├── score.py            M1 acceptance scorecard generator</w:t>
      </w:r>
      <w:r>
        <w:br/>
      </w:r>
      <w:r>
        <w:rPr>
          <w:rStyle w:val="VerbatimChar"/>
        </w:rPr>
        <w:t xml:space="preserve">│   ├── build_goldens.py    regenerate / diff goldens</w:t>
      </w:r>
      <w:r>
        <w:br/>
      </w:r>
      <w:r>
        <w:rPr>
          <w:rStyle w:val="VerbatimChar"/>
        </w:rPr>
        <w:t xml:space="preserve">│   ├── build_tier_c.py     synthesize Tier-C edge case files</w:t>
      </w:r>
      <w:r>
        <w:br/>
      </w:r>
      <w:r>
        <w:rPr>
          <w:rStyle w:val="VerbatimChar"/>
        </w:rPr>
        <w:t xml:space="preserve">│   ├── build_ai_cache.py   bake AI-enriched ai_cache.json from curated entries</w:t>
      </w:r>
      <w:r>
        <w:br/>
      </w:r>
      <w:r>
        <w:rPr>
          <w:rStyle w:val="VerbatimChar"/>
        </w:rPr>
        <w:t xml:space="preserve">│   └── report.py           generate single-file HTML test report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conftest.py</w:t>
      </w:r>
      <w:r>
        <w:br/>
      </w:r>
      <w:r>
        <w:rPr>
          <w:rStyle w:val="VerbatimChar"/>
        </w:rPr>
        <w:t xml:space="preserve">│   ├── test_dispatch.py</w:t>
      </w:r>
      <w:r>
        <w:br/>
      </w:r>
      <w:r>
        <w:rPr>
          <w:rStyle w:val="VerbatimChar"/>
        </w:rPr>
        <w:t xml:space="preserve">│   ├── test_parsers.py</w:t>
      </w:r>
      <w:r>
        <w:br/>
      </w:r>
      <w:r>
        <w:rPr>
          <w:rStyle w:val="VerbatimChar"/>
        </w:rPr>
        <w:t xml:space="preserve">│   ├── test_planner.py     IR→Plan→xlsx + extractor + xlsx_writer tests</w:t>
      </w:r>
      <w:r>
        <w:br/>
      </w:r>
      <w:r>
        <w:rPr>
          <w:rStyle w:val="VerbatimChar"/>
        </w:rPr>
        <w:t xml:space="preserve">│   ├── test_ai_enricher.py cache + mocked-API + fallback paths</w:t>
      </w:r>
      <w:r>
        <w:br/>
      </w:r>
      <w:r>
        <w:rPr>
          <w:rStyle w:val="VerbatimChar"/>
        </w:rPr>
        <w:t xml:space="preserve">│   ├── test_regression.py  pytest-side golden drift detection</w:t>
      </w:r>
      <w:r>
        <w:br/>
      </w:r>
      <w:r>
        <w:rPr>
          <w:rStyle w:val="VerbatimChar"/>
        </w:rPr>
        <w:t xml:space="preserve">│   ├── test_determinism.py</w:t>
      </w:r>
      <w:r>
        <w:br/>
      </w:r>
      <w:r>
        <w:rPr>
          <w:rStyle w:val="VerbatimChar"/>
        </w:rPr>
        <w:t xml:space="preserve">│   ├── test_parity.py</w:t>
      </w:r>
      <w:r>
        <w:br/>
      </w:r>
      <w:r>
        <w:rPr>
          <w:rStyle w:val="VerbatimChar"/>
        </w:rPr>
        <w:t xml:space="preserve">│   ├── test_edge_cases.py</w:t>
      </w:r>
      <w:r>
        <w:br/>
      </w:r>
      <w:r>
        <w:rPr>
          <w:rStyle w:val="VerbatimChar"/>
        </w:rPr>
        <w:t xml:space="preserve">│   ├── test_cli.py</w:t>
      </w:r>
      <w:r>
        <w:br/>
      </w:r>
      <w:r>
        <w:rPr>
          <w:rStyle w:val="VerbatimChar"/>
        </w:rPr>
        <w:t xml:space="preserve">│   ├── corpus/</w:t>
      </w:r>
      <w:r>
        <w:br/>
      </w:r>
      <w:r>
        <w:rPr>
          <w:rStyle w:val="VerbatimChar"/>
        </w:rPr>
        <w:t xml:space="preserve">│   │   ├── tier_a/         format-parity samples (RFC 9785 ×3 + EVPN spec)</w:t>
      </w:r>
      <w:r>
        <w:br/>
      </w:r>
      <w:r>
        <w:rPr>
          <w:rStyle w:val="VerbatimChar"/>
        </w:rPr>
        <w:t xml:space="preserve">│   │   ├── tier_b/         scale stress (rfc7432bis-13)</w:t>
      </w:r>
      <w:r>
        <w:br/>
      </w:r>
      <w:r>
        <w:rPr>
          <w:rStyle w:val="VerbatimChar"/>
        </w:rPr>
        <w:t xml:space="preserve">│   │   └── tier_c/         edge cases + MANIFEST.tsv</w:t>
      </w:r>
      <w:r>
        <w:br/>
      </w:r>
      <w:r>
        <w:rPr>
          <w:rStyle w:val="VerbatimChar"/>
        </w:rPr>
        <w:t xml:space="preserve">│   └── golden/</w:t>
      </w:r>
      <w:r>
        <w:br/>
      </w:r>
      <w:r>
        <w:rPr>
          <w:rStyle w:val="VerbatimChar"/>
        </w:rPr>
        <w:t xml:space="preserve">│       ├── headings.json</w:t>
      </w:r>
      <w:r>
        <w:br/>
      </w:r>
      <w:r>
        <w:rPr>
          <w:rStyle w:val="VerbatimChar"/>
        </w:rPr>
        <w:t xml:space="preserve">│       ├── cli_blocks.json</w:t>
      </w:r>
      <w:r>
        <w:br/>
      </w:r>
      <w:r>
        <w:rPr>
          <w:rStyle w:val="VerbatimChar"/>
        </w:rPr>
        <w:t xml:space="preserve">│       ├── tables.json</w:t>
      </w:r>
      <w:r>
        <w:br/>
      </w:r>
      <w:r>
        <w:rPr>
          <w:rStyle w:val="VerbatimChar"/>
        </w:rPr>
        <w:t xml:space="preserve">│       └── ir/             full normalized IR per tracked doc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TDD.md              (this document)</w:t>
      </w:r>
      <w:r>
        <w:br/>
      </w:r>
      <w:r>
        <w:rPr>
          <w:rStyle w:val="VerbatimChar"/>
        </w:rPr>
        <w:t xml:space="preserve">│   ├── M1_acceptance.md    numeric thresholds + how to verify</w:t>
      </w:r>
      <w:r>
        <w:br/>
      </w:r>
      <w:r>
        <w:rPr>
          <w:rStyle w:val="VerbatimChar"/>
        </w:rPr>
        <w:t xml:space="preserve">│   └── exaware-acceptance.md   human spot-check form</w:t>
      </w:r>
      <w:r>
        <w:br/>
      </w:r>
      <w:r>
        <w:rPr>
          <w:rStyle w:val="VerbatimChar"/>
        </w:rPr>
        <w:t xml:space="preserve">├── references/             client-provided references (read-only, committed)</w:t>
      </w:r>
      <w:r>
        <w:br/>
      </w:r>
      <w:r>
        <w:rPr>
          <w:rStyle w:val="VerbatimChar"/>
        </w:rPr>
        <w:t xml:space="preserve">├── plans/                  generated test plan xlsx (gitignored)</w:t>
      </w:r>
      <w:r>
        <w:br/>
      </w:r>
      <w:r>
        <w:rPr>
          <w:rStyle w:val="VerbatimChar"/>
        </w:rPr>
        <w:t xml:space="preserve">├── out/                    generated IR JSON per parsed doc (gitignored)</w:t>
      </w:r>
      <w:r>
        <w:br/>
      </w:r>
      <w:r>
        <w:rPr>
          <w:rStyle w:val="VerbatimChar"/>
        </w:rPr>
        <w:t xml:space="preserve">├── results/                generated HTML reports + pytest-junit.xml (gitignored)</w:t>
      </w:r>
      <w:r>
        <w:br/>
      </w:r>
      <w:r>
        <w:rPr>
          <w:rStyle w:val="VerbatimChar"/>
        </w:rPr>
        <w:t xml:space="preserve">├── modular_tools.sh        ★ swiss knife dispatcher (run-tests, plan, plan_all,</w:t>
      </w:r>
      <w:r>
        <w:br/>
      </w:r>
      <w:r>
        <w:rPr>
          <w:rStyle w:val="VerbatimChar"/>
        </w:rPr>
        <w:t xml:space="preserve">│                              parse, parse_all, verify, regression, golden_*, …)</w:t>
      </w:r>
      <w:r>
        <w:br/>
      </w:r>
      <w:r>
        <w:rPr>
          <w:rStyle w:val="VerbatimChar"/>
        </w:rPr>
        <w:t xml:space="preserve">├── Makefile                thin alias layer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41"/>
    <w:bookmarkStart w:id="42" w:name="Xb7debefb64fc7f6258503acc01265951acab17f"/>
    <w:p>
      <w:pPr>
        <w:pStyle w:val="Heading2"/>
      </w:pPr>
      <w:r>
        <w:t xml:space="preserve">8. Sign-off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M1 numeric acceptance:</w:t>
      </w:r>
      <w:r>
        <w:t xml:space="preserve"> </w:t>
      </w:r>
      <w:r>
        <w:rPr>
          <w:rStyle w:val="VerbatimChar"/>
        </w:rPr>
        <w:t xml:space="preserve">./modular_tools.sh run-tests</w:t>
      </w:r>
      <w:r>
        <w:t xml:space="preserve"> </w:t>
      </w:r>
      <w:r>
        <w:t xml:space="preserve">→ all</w:t>
      </w:r>
      <w:r>
        <w:t xml:space="preserve"> </w:t>
      </w:r>
      <w:r>
        <w:rPr>
          <w:rStyle w:val="VerbatimChar"/>
        </w:rPr>
        <w:t xml:space="preserve">[PASS]</w:t>
      </w:r>
      <w:r>
        <w:t xml:space="preserve"> </w:t>
      </w:r>
      <w:r>
        <w:t xml:space="preserve">rows in the HTML report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M1 deliverable artifact:</w:t>
      </w:r>
      <w:r>
        <w:t xml:space="preserve"> </w:t>
      </w:r>
      <w:r>
        <w:rPr>
          <w:rStyle w:val="VerbatimChar"/>
        </w:rPr>
        <w:t xml:space="preserve">plans/EVPN_System_Specification_1.00.xlsx</w:t>
      </w:r>
      <w:r>
        <w:t xml:space="preserve"> </w:t>
      </w:r>
      <w:r>
        <w:t xml:space="preserve">(and other Word feature specs)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M1 human acceptance:</w:t>
      </w:r>
      <w:r>
        <w:t xml:space="preserve"> </w:t>
      </w:r>
      <w:r>
        <w:t xml:space="preserve">Exaware reviewer completes</w:t>
      </w:r>
      <w:r>
        <w:t xml:space="preserve"> </w:t>
      </w:r>
      <w:r>
        <w:rPr>
          <w:rStyle w:val="VerbatimChar"/>
        </w:rPr>
        <w:t xml:space="preserve">docs/exaware-acceptance.md</w:t>
      </w:r>
      <w:r>
        <w:t xml:space="preserve"> </w:t>
      </w:r>
      <w:r>
        <w:t xml:space="preserve">after reviewing the xlsx artifact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Regression baseline locked:</w:t>
      </w:r>
      <w:r>
        <w:t xml:space="preserve"> </w:t>
      </w:r>
      <w:r>
        <w:rPr>
          <w:rStyle w:val="VerbatimChar"/>
        </w:rPr>
        <w:t xml:space="preserve">tests/golden/</w:t>
      </w:r>
      <w:r>
        <w:t xml:space="preserve"> </w:t>
      </w:r>
      <w:r>
        <w:t xml:space="preserve">committed; future drift detected automatically</w:t>
      </w:r>
    </w:p>
    <w:p>
      <w:pPr>
        <w:pStyle w:val="FirstParagraph"/>
      </w:pPr>
      <w:r>
        <w:t xml:space="preserve">When all four are satisfied, M1 is accepted and</w:t>
      </w:r>
      <w:r>
        <w:t xml:space="preserve"> </w:t>
      </w:r>
      <w:r>
        <w:rPr>
          <w:b/>
          <w:bCs/>
        </w:rPr>
        <w:t xml:space="preserve">15%</w:t>
      </w:r>
      <w:r>
        <w:t xml:space="preserve"> </w:t>
      </w:r>
      <w:r>
        <w:t xml:space="preserve">of the contract value is due (per PQ4476E §6). Per the Cure Period clause, Exaware may withhold the M1 invoice only if the deliverable is materially non-conforming, with written deficiencies and a reasonable Cure Period before rejection (max 2 resubmissions).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9" Type="http://schemas.openxmlformats.org/officeDocument/2006/relationships/image" Target="media/rId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2026-05-17T07:47:21Z</dcterms:created>
  <dcterms:modified xsi:type="dcterms:W3CDTF">2026-05-17T07:47:21Z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