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N6Cam People-Counter Firmware</w:t>
      </w:r>
    </w:p>
    <w:p>
      <w:pPr>
        <w:pStyle w:val="Normal"/>
        <w:spacing w:before="0" w:after="240"/>
        <w:rPr/>
      </w:pPr>
      <w:r>
        <w:rPr>
          <w:rFonts w:eastAsia="Arial" w:cs="Arial"/>
          <w:color w:val="595959"/>
          <w:sz w:val="28"/>
          <w:szCs w:val="28"/>
        </w:rPr>
        <w:t>Milestone Plan &amp; Cost Proposal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Project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N6Cam People-Counter Firmware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Vendor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Kamacode Ltd.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Client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ITP / Novex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Reference SOW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SOW — N6Cam People-Counter Firmware (2026-04-24)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Document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Milestone Plan &amp; Cost Proposal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2026-04-26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Ilan Ganor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Draft for client approval</w:t>
            </w:r>
          </w:p>
        </w:tc>
      </w:tr>
    </w:tbl>
    <w:p>
      <w:pPr>
        <w:pStyle w:val="Heading1"/>
        <w:rPr/>
      </w:pPr>
      <w:r>
        <w:rPr/>
        <w:t>1. Overview</w:t>
      </w:r>
    </w:p>
    <w:p>
      <w:pPr>
        <w:pStyle w:val="Normal"/>
        <w:spacing w:before="60" w:after="60"/>
        <w:rPr/>
      </w:pPr>
      <w:r>
        <w:rPr/>
        <w:t>This proposal covers the design, implementation, and delivery of custom application firmware for the SIANA N6Cam Edge AI Sensing Kit, per the SOW dated 2026-04-24. Scope is firmware only; mechanical, optical, and power design are out of scope, as is the SIANA hardware quote.</w:t>
      </w:r>
    </w:p>
    <w:p>
      <w:pPr>
        <w:pStyle w:val="Normal"/>
        <w:spacing w:before="60" w:after="60"/>
        <w:rPr/>
      </w:pPr>
      <w:r>
        <w:rPr/>
        <w:t>The work is structured into five sequential milestones. Each milestone produces a self-contained, independently acceptable deliverable. Payment is triggered on acceptance of each milestone's deliverables.</w:t>
      </w:r>
    </w:p>
    <w:p>
      <w:pPr>
        <w:pStyle w:val="Heading1"/>
        <w:rPr/>
      </w:pPr>
      <w:r>
        <w:rPr/>
        <w:t>2. Scope Summary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FR-1 — People detection and count tracking with configurable debounce and inference rate.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FR-2 — Image capture on every debounced count-change event.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FR-3 — Event logging to SD card (timestamped images plus append-only event log).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FR-4 — Event-out GPIO pulse on every logged event.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FR-5 — SD-card interlock input with RAM-buffered events, clean unmount/remount, and overflow accounting.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FR-6 — Firmware update over UART with bootloader, integrity check, and A/B or golden-image fallback.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Acceptance: bench-executable test procedure including a ≥ 24 h soak.</w:t>
      </w:r>
    </w:p>
    <w:p>
      <w:pPr>
        <w:pStyle w:val="Heading1"/>
        <w:rPr/>
      </w:pPr>
      <w:r>
        <w:rPr/>
        <w:t>3. Milestones, Effort &amp; Cost</w:t>
      </w:r>
    </w:p>
    <w:p>
      <w:pPr>
        <w:pStyle w:val="Normal"/>
        <w:spacing w:before="60" w:after="60"/>
        <w:rPr/>
      </w:pPr>
      <w:r>
        <w:rPr/>
        <w:t>All effort estimates assume the open questions in SOW §5 are resolved during M1. Material changes to those answers (for example, a custom detection model in place of the stock SIANA model, or signed-image update with on-device key provisioning) will be handled as a written change request before affecting downstream milestones.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99"/>
        <w:gridCol w:w="2200"/>
        <w:gridCol w:w="4950"/>
        <w:gridCol w:w="1611"/>
      </w:tblGrid>
      <w:tr>
        <w:trPr>
          <w:tblHeader w:val="true"/>
        </w:trPr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</w:rPr>
              <w:t>Scope &amp; Deliverables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FFFFFF"/>
              </w:rPr>
              <w:t>Payment %</w:t>
            </w:r>
          </w:p>
        </w:tc>
      </w:tr>
      <w:tr>
        <w:trPr/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M1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Kickoff &amp; Design Review</w:t>
            </w:r>
          </w:p>
        </w:tc>
        <w:tc>
          <w:tcPr>
            <w:tcW w:w="4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Resolve all open questions in §5 of the SOW (detection model, image pipeline, GPIO assignments, SD filesystem behavior, RAM budget, UART arbitration, update security, time source, power loss). Deliver: architecture &amp; design document, GPIO/electrical pinout, event-log file format, SD directory layout, UART update protocol spec. Signed-off design baseline before implementation starts.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right"/>
              <w:rPr/>
            </w:pPr>
            <w:r>
              <w:rPr/>
              <w:t>20</w:t>
            </w:r>
            <w:r>
              <w:rPr/>
              <w:t xml:space="preserve"> %</w:t>
            </w:r>
          </w:p>
        </w:tc>
      </w:tr>
      <w:tr>
        <w:trPr/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M2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Detection, Capture &amp; SD Logging (FR-1, FR-2, FR-3)</w:t>
            </w:r>
          </w:p>
        </w:tc>
        <w:tc>
          <w:tcPr>
            <w:tcW w:w="4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On-device person-detection inference on live camera stream, instantaneous count tracking with configurable debounce, still-frame capture on debounced count-change events, append-only event log (JSONL or CSV) plus timestamped image files on SD card. Build-time configurable inference rate, image format/quality, and log layout.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right"/>
              <w:rPr/>
            </w:pPr>
            <w:r>
              <w:rPr/>
              <w:t>25</w:t>
            </w:r>
            <w:r>
              <w:rPr/>
              <w:t xml:space="preserve"> %</w:t>
            </w:r>
          </w:p>
        </w:tc>
      </w:tr>
      <w:tr>
        <w:trPr/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M3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Event GPIO &amp; SD-Card Interlock (FR-4, FR-5)</w:t>
            </w:r>
          </w:p>
        </w:tc>
        <w:tc>
          <w:tcPr>
            <w:tcW w:w="4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Configurable event-out GPIO pulse on every logged event. Interlock input GPIO with debounce, in-flight write completion, clean filesystem flush/unmount, bounded RAM FIFO for events while interlock is asserted, ordered drain on re-mount, overflow accounting (drop policy + counter logged on resume). Optional “safe to remove” ACK output.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right"/>
              <w:rPr/>
            </w:pPr>
            <w:r>
              <w:rPr/>
              <w:t>2</w:t>
            </w:r>
            <w:r>
              <w:rPr/>
              <w:t>5</w:t>
            </w:r>
            <w:r>
              <w:rPr/>
              <w:t xml:space="preserve"> %</w:t>
            </w:r>
          </w:p>
        </w:tc>
      </w:tr>
      <w:tr>
        <w:trPr/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M4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UART Firmware Update (FR-6)</w:t>
            </w:r>
          </w:p>
        </w:tc>
        <w:tc>
          <w:tcPr>
            <w:tcW w:w="4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Bootloader / resident update agent, image reception over UART (XMODEM/YMODEM or agreed protocol), CRC32 integrity check (signed-image option per design review), A/B or golden-image fallback so an interrupted update cannot brick the device, host-side Linux CLI flasher, documented protocol, configurable baud (≥ 115200).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right"/>
              <w:rPr/>
            </w:pPr>
            <w:r>
              <w:rPr/>
              <w:t>2</w:t>
            </w:r>
            <w:r>
              <w:rPr/>
              <w:t>0</w:t>
            </w:r>
            <w:r>
              <w:rPr/>
              <w:t xml:space="preserve"> %</w:t>
            </w:r>
          </w:p>
        </w:tc>
      </w:tr>
      <w:tr>
        <w:trPr/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M5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Integration, Acceptance &amp; Release</w:t>
            </w:r>
          </w:p>
        </w:tc>
        <w:tc>
          <w:tcPr>
            <w:tcW w:w="4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Execution of the bench acceptance test procedure (count-change accuracy, 1-pulse-per-event verification, interlock buffer/overflow scenarios, interrupted-update recovery, ≥ 24 h soak). Final integration document, release FW binary (signed if applicable), bootloader binary, host flasher utility, build/toolchain instructions, known-issues note.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right"/>
              <w:rPr/>
            </w:pPr>
            <w:r>
              <w:rPr/>
              <w:t>1</w:t>
            </w:r>
            <w:r>
              <w:rPr/>
              <w:t>0</w:t>
            </w:r>
            <w:r>
              <w:rPr/>
              <w:t xml:space="preserve"> %</w:t>
            </w:r>
          </w:p>
        </w:tc>
      </w:tr>
      <w:tr>
        <w:trPr/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Total</w:t>
            </w:r>
          </w:p>
        </w:tc>
        <w:tc>
          <w:tcPr>
            <w:tcW w:w="4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i/>
                <w:iCs/>
              </w:rPr>
              <w:t>Sum of milestone payments equals the fixed project total in §4.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</w:rPr>
              <w:t>100 %</w:t>
            </w:r>
          </w:p>
        </w:tc>
      </w:tr>
    </w:tbl>
    <w:p>
      <w:pPr>
        <w:pStyle w:val="Heading1"/>
        <w:rPr/>
      </w:pPr>
      <w:r>
        <w:rPr/>
        <w:t>4. Commercial Summary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000"/>
        <w:gridCol w:w="4359"/>
      </w:tblGrid>
      <w:tr>
        <w:trPr/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Total effort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300 hours</w:t>
            </w:r>
          </w:p>
        </w:tc>
      </w:tr>
      <w:tr>
        <w:trPr/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Hourly rate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275 NIS / hour</w:t>
            </w:r>
          </w:p>
        </w:tc>
      </w:tr>
      <w:tr>
        <w:trPr/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Project total (excl. VAT)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 xml:space="preserve">₪ </w:t>
            </w:r>
            <w:r>
              <w:rPr>
                <w:b/>
                <w:bCs/>
              </w:rPr>
              <w:t>82,500</w:t>
            </w:r>
          </w:p>
        </w:tc>
      </w:tr>
      <w:tr>
        <w:trPr/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Currency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NIS (Israeli New Shekel)</w:t>
            </w:r>
          </w:p>
        </w:tc>
      </w:tr>
      <w:tr>
        <w:trPr/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Payment schedule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Milestone-based, per the percentages in the table in §3</w:t>
            </w:r>
          </w:p>
        </w:tc>
      </w:tr>
      <w:tr>
        <w:trPr/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Payment trigger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/>
              <w:t>On deliverable acceptance, per milestone</w:t>
            </w:r>
          </w:p>
        </w:tc>
      </w:tr>
      <w:tr>
        <w:trPr/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Payment terms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jc w:val="left"/>
              <w:rPr/>
            </w:pPr>
            <w:r>
              <w:rPr/>
              <w:t>Net-30 from invoice date</w:t>
            </w:r>
          </w:p>
        </w:tc>
      </w:tr>
    </w:tbl>
    <w:p>
      <w:pPr>
        <w:pStyle w:val="Heading1"/>
        <w:rPr/>
      </w:pPr>
      <w:r>
        <w:rPr/>
        <w:t>5. Assumptions and Exclusions</w:t>
      </w:r>
    </w:p>
    <w:p>
      <w:pPr>
        <w:pStyle w:val="Heading2"/>
        <w:rPr/>
      </w:pPr>
      <w:r>
        <w:rPr/>
        <w:t>5.1 Assumptions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SIANA N6Cam hardware, BSP, and base SDK are provided in working condition by ITP / Novex.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The stock SIANA person-detection model is reused. Training or sourcing a custom model is out of scope.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FAT32 is acceptable for the SD-card filesystem. The on-device driver supports clean unmount.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At least one UART is available for the update path. Update-mode entry mechanism (magic sequence, GPIO strap, or command) is agreed during M1.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Available free GPIOs for the event-out and interlock-in signals are confirmed during M1.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Time source: monotonic timestamps are acceptable in the absence of an RTC; external time-set hook is provided if needed.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CRC32 image integrity is the baseline for FR-6. Code-signing with on-device public key is an option to be confirmed in M1; if selected, key provisioning effort is included in M4.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ITP / Novex provides hardware units (N6Cam plus an SD-card test fixture) and timely access to a technical point of contact.</w:t>
      </w:r>
    </w:p>
    <w:p>
      <w:pPr>
        <w:pStyle w:val="Heading2"/>
        <w:rPr/>
      </w:pPr>
      <w:r>
        <w:rPr/>
        <w:t>5.2 Exclusions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SIANA hardware, optics, mechanical enclosure, and power design.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Production programming, manufacturing-line bring-up, and field rollout.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Regulatory or EMC compliance work.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Cloud, server, or back-office integration of the event log.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Training of an end-user-specific detection model.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On-site support outside of remote acceptance review.</w:t>
      </w:r>
    </w:p>
    <w:p>
      <w:pPr>
        <w:pStyle w:val="Heading1"/>
        <w:rPr/>
      </w:pPr>
      <w:r>
        <w:rPr/>
        <w:t>6. Schedule</w:t>
      </w:r>
    </w:p>
    <w:p>
      <w:pPr>
        <w:pStyle w:val="Normal"/>
        <w:spacing w:before="60" w:after="60"/>
        <w:rPr/>
      </w:pPr>
      <w:r>
        <w:rPr/>
        <w:t>Indicative duration is approximately 10 to 12 calendar weeks from kickoff to M5 acceptance, assuming hardware availability at M1 and a single-track engagement. A detailed timeline with target dates is fixed at M1 sign-off.</w:t>
      </w:r>
    </w:p>
    <w:p>
      <w:pPr>
        <w:pStyle w:val="Heading1"/>
        <w:rPr/>
      </w:pPr>
      <w:r>
        <w:rPr/>
        <w:t>7. Change Control</w:t>
      </w:r>
    </w:p>
    <w:p>
      <w:pPr>
        <w:pStyle w:val="Normal"/>
        <w:spacing w:before="60" w:after="60"/>
        <w:rPr/>
      </w:pPr>
      <w:r>
        <w:rPr/>
        <w:t>Any change to scope, deliverables, GPIO assignments, update-mode security model, or detection model that materially affects effort is documented in a change request signed by both parties before work proceeds. Effort and cost are adjusted at the agreed hourly rate.</w:t>
      </w:r>
    </w:p>
    <w:p>
      <w:pPr>
        <w:pStyle w:val="Heading1"/>
        <w:rPr/>
      </w:pPr>
      <w:r>
        <w:rPr/>
        <w:t>8. Authorization</w:t>
      </w:r>
    </w:p>
    <w:p>
      <w:pPr>
        <w:pStyle w:val="Normal"/>
        <w:spacing w:before="60" w:after="60"/>
        <w:rPr/>
      </w:pPr>
      <w:r>
        <w:rPr/>
        <w:t>Acceptance of this proposal authorizes Kamacode Ltd. to begin Milestone 1. Signature below constitutes agreement to the scope, milestones, effort, rate, and commercial terms set out in this document.</w:t>
      </w:r>
    </w:p>
    <w:p>
      <w:pPr>
        <w:pStyle w:val="Normal"/>
        <w:spacing w:before="360" w:after="60"/>
        <w:rPr/>
      </w:pPr>
      <w:r>
        <w:rPr/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100" w:type="dxa"/>
          <w:right w:w="20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</w:rPr>
              <w:t>For Kamacode Ltd.</w:t>
            </w:r>
          </w:p>
          <w:p>
            <w:pPr>
              <w:pStyle w:val="Normal"/>
              <w:pBdr>
                <w:top w:val="single" w:sz="6" w:space="1" w:color="000000"/>
              </w:pBdr>
              <w:spacing w:before="480" w:after="0"/>
              <w:rPr/>
            </w:pPr>
            <w:r>
              <w:rPr/>
              <w:t>Ilan Ganor, CEO</w:t>
            </w:r>
          </w:p>
          <w:p>
            <w:pPr>
              <w:pStyle w:val="Normal"/>
              <w:rPr/>
            </w:pPr>
            <w:r>
              <w:rPr>
                <w:color w:val="666666"/>
                <w:sz w:val="18"/>
                <w:szCs w:val="18"/>
              </w:rPr>
              <w:t>Signature / Date</w:t>
            </w:r>
          </w:p>
        </w:tc>
        <w:tc>
          <w:tcPr>
            <w:tcW w:w="4679" w:type="dxa"/>
            <w:tcBorders/>
            <w:tcMar>
              <w:left w:w="20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For ITP / Novex</w:t>
            </w:r>
          </w:p>
          <w:p>
            <w:pPr>
              <w:pStyle w:val="Normal"/>
              <w:pBdr>
                <w:top w:val="single" w:sz="6" w:space="1" w:color="000000"/>
              </w:pBdr>
              <w:spacing w:before="480" w:after="0"/>
              <w:rPr/>
            </w:pPr>
            <w:r>
              <w:rPr/>
              <w:t>Name / Title</w:t>
            </w:r>
          </w:p>
          <w:p>
            <w:pPr>
              <w:pStyle w:val="Normal"/>
              <w:rPr/>
            </w:pPr>
            <w:r>
              <w:rPr>
                <w:color w:val="666666"/>
                <w:sz w:val="18"/>
                <w:szCs w:val="18"/>
              </w:rPr>
              <w:t>Signature / Date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color w:val="666666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color w:val="666666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tabs>
        <w:tab w:val="clear" w:pos="720"/>
        <w:tab w:val="right" w:pos="9360" w:leader="none"/>
      </w:tabs>
      <w:rPr/>
    </w:pPr>
    <w:r>
      <w:rPr>
        <w:b/>
        <w:bCs/>
        <w:color w:val="1F4E79"/>
        <w:sz w:val="18"/>
        <w:szCs w:val="18"/>
      </w:rPr>
      <w:t>Kamacode Ltd. — Confidential</w:t>
    </w:r>
    <w:r>
      <w:rPr>
        <w:color w:val="1F4E79"/>
        <w:sz w:val="18"/>
        <w:szCs w:val="18"/>
      </w:rPr>
      <w:tab/>
      <w:t>N6Cam People-Counter Firmware — Proposal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tabs>
        <w:tab w:val="clear" w:pos="720"/>
        <w:tab w:val="right" w:pos="9360" w:leader="none"/>
      </w:tabs>
      <w:rPr/>
    </w:pPr>
    <w:r>
      <w:rPr>
        <w:b/>
        <w:bCs/>
        <w:color w:val="1F4E79"/>
        <w:sz w:val="18"/>
        <w:szCs w:val="18"/>
      </w:rPr>
      <w:t>Kamacode Ltd. — Confidential</w:t>
    </w:r>
    <w:r>
      <w:rPr>
        <w:color w:val="1F4E79"/>
        <w:sz w:val="18"/>
        <w:szCs w:val="18"/>
      </w:rPr>
      <w:tab/>
      <w:t>N6Cam People-Counter Firmware — Proposal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"/>
    <w:basedOn w:val="Heading"/>
    <w:qFormat/>
    <w:pPr>
      <w:spacing w:before="220" w:after="120"/>
      <w:outlineLvl w:val="1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943</Words>
  <Characters>5445</Characters>
  <CharactersWithSpaces>6273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2026-04-26T10:07:37Z</dcterms:created>
  <dc:creator>Kamacode Ltd.</dc:creator>
  <dc:description/>
  <dc:language>en-US</dc:language>
  <cp:lastModifiedBy/>
  <dcterms:modified xsi:type="dcterms:W3CDTF">2026-04-26T13:10:01Z</dcterms:modified>
  <cp:revision>2</cp:revision>
  <dc:subject/>
  <dc:title>N6Cam People-Counter Firmware — Milestone Plan &amp; Cost Proposal</dc:title>
</cp:coreProperties>
</file>