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3A68"/>
          <w:sz w:val="40"/>
        </w:rPr>
        <w:t>N6Cam + Yellow MangOH — Phase 1 Firmware</w:t>
      </w:r>
    </w:p>
    <w:p>
      <w:pPr>
        <w:pStyle w:val="Normal"/>
        <w:spacing w:before="0" w:after="240"/>
        <w:jc w:val="center"/>
        <w:rPr/>
      </w:pPr>
      <w:r>
        <w:rPr>
          <w:i/>
          <w:sz w:val="26"/>
        </w:rPr>
        <w:t>WBS-Based Cost Proposal &amp; Milestone Plan</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86"/>
        <w:gridCol w:w="4985"/>
      </w:tblGrid>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Project</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N6Cam + Yellow MangOH Phase 1 Firmware</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Vendor</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Kamacode Ltd.</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Client</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ITP / Novex</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Reference WBS</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ITP/Novex "Phase 1 development tasks" doc, 2026-04-28 (2346SC). SOW — N6Cam People-Counter Firmware, 2026-04-24.</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Document</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Cost Proposal v4 — WBS task breakdown</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Date</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2026-04-29</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Prepared by</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Ilan Ganor, Kamacode Ltd.</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Status</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Draft for client approval</w:t>
            </w:r>
          </w:p>
        </w:tc>
      </w:tr>
    </w:tbl>
    <w:p>
      <w:pPr>
        <w:pStyle w:val="Normal"/>
        <w:rPr/>
      </w:pPr>
      <w:r>
        <w:rPr/>
      </w:r>
    </w:p>
    <w:p>
      <w:pPr>
        <w:pStyle w:val="Heading1"/>
        <w:rPr/>
      </w:pPr>
      <w:r>
        <w:rPr>
          <w:color w:val="1F3A68"/>
        </w:rPr>
        <w:t>1. Overview</w:t>
      </w:r>
    </w:p>
    <w:p>
      <w:pPr>
        <w:pStyle w:val="Normal"/>
        <w:spacing w:before="0" w:after="80"/>
        <w:rPr/>
      </w:pPr>
      <w:r>
        <w:rPr>
          <w:b w:val="false"/>
          <w:sz w:val="22"/>
        </w:rPr>
        <w:t>This proposal covers the design, implementation, and delivery of custom application firmware for the SIANA N6Cam Edge AI Sensing Kit and the Sierra Wireless Yellow MangOH development kit (with WP7607 cellular modem), per the ITP/Novex "Phase 1 development tasks" document dated 2026-04-28 (2346SC) and the SOW dated 2026-04-24. Scope is firmware only; mechanical, optical, and power design are out of scope, as are the SIANA, Sierra Wireless, and SD-card hardware quotes.</w:t>
      </w:r>
    </w:p>
    <w:p>
      <w:pPr>
        <w:pStyle w:val="Normal"/>
        <w:spacing w:before="0" w:after="80"/>
        <w:rPr/>
      </w:pPr>
      <w:r>
        <w:rPr>
          <w:b w:val="false"/>
          <w:sz w:val="22"/>
        </w:rPr>
        <w:t>The cost is broken down per WBS line item from the client requirements document, at a fixed hourly rate of 270 NIS. Milestones (§4) group the WBS items for delivery and payment.</w:t>
      </w:r>
    </w:p>
    <w:p>
      <w:pPr>
        <w:pStyle w:val="Heading1"/>
        <w:rPr/>
      </w:pPr>
      <w:r>
        <w:rPr>
          <w:color w:val="1F3A68"/>
        </w:rPr>
        <w:t>2. Scope Summary</w:t>
      </w:r>
    </w:p>
    <w:p>
      <w:pPr>
        <w:pStyle w:val="ListBullet"/>
        <w:numPr>
          <w:ilvl w:val="0"/>
          <w:numId w:val="1"/>
        </w:numPr>
        <w:spacing w:before="0" w:after="40"/>
        <w:contextualSpacing/>
        <w:rPr/>
      </w:pPr>
      <w:r>
        <w:rPr>
          <w:sz w:val="20"/>
        </w:rPr>
        <w:t>FR-1 — People AND vehicle detection and counting on the N6Cam, with configurable debounce and inference rate.</w:t>
      </w:r>
    </w:p>
    <w:p>
      <w:pPr>
        <w:pStyle w:val="ListBullet"/>
        <w:numPr>
          <w:ilvl w:val="0"/>
          <w:numId w:val="1"/>
        </w:numPr>
        <w:spacing w:before="0" w:after="40"/>
        <w:contextualSpacing/>
        <w:rPr/>
      </w:pPr>
      <w:r>
        <w:rPr>
          <w:sz w:val="20"/>
        </w:rPr>
        <w:t>FR-2 — JPEG capture on every newly detected person or vehicle, with the HAL_JPEG_ConfigEncoding parameter set adjustable at runtime.</w:t>
      </w:r>
    </w:p>
    <w:p>
      <w:pPr>
        <w:pStyle w:val="ListBullet"/>
        <w:numPr>
          <w:ilvl w:val="0"/>
          <w:numId w:val="1"/>
        </w:numPr>
        <w:spacing w:before="0" w:after="40"/>
        <w:contextualSpacing/>
        <w:rPr/>
      </w:pPr>
      <w:r>
        <w:rPr>
          <w:sz w:val="20"/>
        </w:rPr>
        <w:t>FR-3 — SD-card storage on a SunDisk Class 4 (C4) card with FAT32 (on-device format + mount); per-event JPEG written to SD, then released from RAM.</w:t>
      </w:r>
    </w:p>
    <w:p>
      <w:pPr>
        <w:pStyle w:val="ListBullet"/>
        <w:numPr>
          <w:ilvl w:val="0"/>
          <w:numId w:val="1"/>
        </w:numPr>
        <w:spacing w:before="0" w:after="40"/>
        <w:contextualSpacing/>
        <w:rPr/>
      </w:pPr>
      <w:r>
        <w:rPr>
          <w:sz w:val="20"/>
        </w:rPr>
        <w:t>FR-4 — External UART links: host UART tunnelled over USB and a dev-kit-to-dev-kit UART to the Yellow MangOH on J503 pins 7/9/11/13 (3.3 V); per-event alert and JPEG transmitted to the MangOH over UART.</w:t>
      </w:r>
    </w:p>
    <w:p>
      <w:pPr>
        <w:pStyle w:val="ListBullet"/>
        <w:numPr>
          <w:ilvl w:val="0"/>
          <w:numId w:val="1"/>
        </w:numPr>
        <w:spacing w:before="0" w:after="40"/>
        <w:contextualSpacing/>
        <w:rPr/>
      </w:pPr>
      <w:r>
        <w:rPr>
          <w:sz w:val="20"/>
        </w:rPr>
        <w:t>FR-5 — USB control plane on the N6Cam: RTC time-set from host, IR-LED on/off, and motion-sensor enable/disable.</w:t>
      </w:r>
    </w:p>
    <w:p>
      <w:pPr>
        <w:pStyle w:val="ListBullet"/>
        <w:numPr>
          <w:ilvl w:val="0"/>
          <w:numId w:val="1"/>
        </w:numPr>
        <w:spacing w:before="0" w:after="40"/>
        <w:contextualSpacing/>
        <w:rPr/>
      </w:pPr>
      <w:r>
        <w:rPr>
          <w:sz w:val="20"/>
        </w:rPr>
        <w:t>FR-6 — Yellow MangOH integration: UART listener for alerts and JPEGs from the N6Cam, UART link-speed characterisation, and forwarding of events to the control-centre server over the WP7607 modem.</w:t>
      </w:r>
    </w:p>
    <w:p>
      <w:pPr>
        <w:pStyle w:val="ListBullet"/>
        <w:numPr>
          <w:ilvl w:val="0"/>
          <w:numId w:val="1"/>
        </w:numPr>
        <w:spacing w:before="0" w:after="40"/>
        <w:contextualSpacing/>
        <w:rPr/>
      </w:pPr>
      <w:r>
        <w:rPr>
          <w:sz w:val="20"/>
        </w:rPr>
        <w:t>Acceptance: bench-executable test procedure including a ≥ 24 h soak.</w:t>
      </w:r>
    </w:p>
    <w:p>
      <w:pPr>
        <w:pStyle w:val="Heading1"/>
        <w:rPr/>
      </w:pPr>
      <w:r>
        <w:rPr>
          <w:color w:val="1F3A68"/>
        </w:rPr>
        <w:t>3. WBS Task Breakdown &amp; Effort</w:t>
      </w:r>
    </w:p>
    <w:p>
      <w:pPr>
        <w:pStyle w:val="Normal"/>
        <w:spacing w:before="0" w:after="80"/>
        <w:rPr/>
      </w:pPr>
      <w:r>
        <w:rPr>
          <w:b w:val="false"/>
          <w:sz w:val="20"/>
        </w:rPr>
        <w:t>Each line item below maps directly to a bullet from the client "Phase 1 development tasks" document (W-prefixed IDs), or is a supporting task added by Kamacode to deliver the WBS list end-to-end (A-prefixed IDs). The "Milestone" column shows where each task is delivered for acceptance and payment (see §4). Hourly rate: 270 NIS.</w:t>
      </w:r>
    </w:p>
    <w:p>
      <w:pPr>
        <w:pStyle w:val="Heading2"/>
        <w:rPr/>
      </w:pPr>
      <w:r>
        <w:rPr>
          <w:color w:val="1F3A68"/>
        </w:rPr>
        <w:t>3.1 N6Cam dev-kit tasks (per client WBS)</w:t>
      </w:r>
    </w:p>
    <w:tbl>
      <w:tblPr>
        <w:tblW w:w="99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94"/>
        <w:gridCol w:w="1994"/>
        <w:gridCol w:w="1994"/>
        <w:gridCol w:w="1994"/>
        <w:gridCol w:w="1994"/>
      </w:tblGrid>
      <w:tr>
        <w:trPr/>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ID</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Task</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Hours</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NIS</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Milestone</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Basic product enabling for video viewing via USB cable</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Already delivered</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External UART for host-processor communication tunnelled over the USB infrastructure</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16</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4,320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M3</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W3</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External UART to Yellow MangOH dev kit on J503 pins 7/9/11/13 (3.3 V)</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3,240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M3</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RTC management initialised from current-time data fed via the USB interface</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2,700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M3</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W5</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Person detection and counting on the N6Cam camera stream</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6,480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M2</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W6</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Vehicle detection and counting on the N6Cam camera stream</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5,400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M2</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W7</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JPEG capture on every newly detected person or vehicle</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3,780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M2</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W8</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Runtime modification of all parameters in the HAL_JPEG_ConfigEncoding struct</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3,240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M2</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W9</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SD-card support — SunDisk Class 4 (C4)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3,780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M2</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FAT32 file-system setup on the SD card, including on-device format</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8</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2,160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M2</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W11</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On new-object detection — send alert message to the modem (protocol per M1)</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2,700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M3</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On new-object detection — write the JPEG to the SD card (format per M1)</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2,700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M2</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W13</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On new-object detection — transmit the JPEG over the UART (protocol per M1)</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3,240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M3</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Release the image from RAM after SD-write and UART-send have both completed</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1,080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M2</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W15</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IR LEDs on/off, controlled by USB command</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6</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1,620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M3</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W16</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Motion-sensor enable/disable for motion alerts, controlled by USB command</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2,700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M3</w:t>
            </w:r>
          </w:p>
        </w:tc>
      </w:tr>
      <w:tr>
        <w:trPr/>
        <w:tc>
          <w:tcPr>
            <w:tcW w:w="3988" w:type="dxa"/>
            <w:gridSpan w:val="2"/>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18"/>
              </w:rPr>
              <w:t>N6Cam subtotal</w:t>
            </w:r>
          </w:p>
          <w:p>
            <w:pPr>
              <w:pStyle w:val="Normal"/>
              <w:widowControl/>
              <w:bidi w:val="0"/>
              <w:spacing w:lineRule="auto" w:line="276" w:before="0" w:after="200"/>
              <w:jc w:val="left"/>
              <w:rPr/>
            </w:pPr>
            <w:r>
              <w:rPr/>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jc w:val="right"/>
              <w:rPr/>
            </w:pPr>
            <w:r>
              <w:rPr>
                <w:b/>
                <w:sz w:val="18"/>
              </w:rPr>
              <w:t>182</w:t>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jc w:val="right"/>
              <w:rPr/>
            </w:pPr>
            <w:r>
              <w:rPr>
                <w:b/>
                <w:sz w:val="18"/>
              </w:rPr>
              <w:t>49,140</w:t>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widowControl/>
              <w:bidi w:val="0"/>
              <w:spacing w:lineRule="auto" w:line="276" w:before="0" w:after="200"/>
              <w:jc w:val="left"/>
              <w:rPr/>
            </w:pPr>
            <w:r>
              <w:rPr/>
            </w:r>
          </w:p>
        </w:tc>
      </w:tr>
    </w:tbl>
    <w:p>
      <w:pPr>
        <w:pStyle w:val="Normal"/>
        <w:rPr/>
      </w:pPr>
      <w:r>
        <w:rPr/>
      </w:r>
    </w:p>
    <w:p>
      <w:pPr>
        <w:pStyle w:val="Heading2"/>
        <w:rPr/>
      </w:pPr>
      <w:r>
        <w:rPr>
          <w:color w:val="1F3A68"/>
        </w:rPr>
        <w:t>3.2 Yellow MangOH dev-kit tasks (per client WBS)</w:t>
      </w:r>
    </w:p>
    <w:tbl>
      <w:tblPr>
        <w:tblW w:w="99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94"/>
        <w:gridCol w:w="1994"/>
        <w:gridCol w:w="1994"/>
        <w:gridCol w:w="1994"/>
        <w:gridCol w:w="1994"/>
      </w:tblGrid>
      <w:tr>
        <w:trPr/>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ID</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Task</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Hours</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NIS</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Milestone</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W17</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External UART link to the N6Cam dev kit</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3,240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M4</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W18</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Characterisation of the maximum reliable UART line-rate between the two dev kits</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2,700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M4</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W19</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UART listener — on alert message or JPEG image, forward to the control-centre server over the WP7607 modem</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28</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7,560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M4</w:t>
            </w:r>
          </w:p>
        </w:tc>
      </w:tr>
      <w:tr>
        <w:trPr/>
        <w:tc>
          <w:tcPr>
            <w:tcW w:w="3988" w:type="dxa"/>
            <w:gridSpan w:val="2"/>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18"/>
              </w:rPr>
              <w:t>MangOH subtotal</w:t>
            </w:r>
          </w:p>
          <w:p>
            <w:pPr>
              <w:pStyle w:val="Normal"/>
              <w:widowControl/>
              <w:bidi w:val="0"/>
              <w:spacing w:lineRule="auto" w:line="276" w:before="0" w:after="200"/>
              <w:jc w:val="left"/>
              <w:rPr/>
            </w:pPr>
            <w:r>
              <w:rPr/>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jc w:val="right"/>
              <w:rPr/>
            </w:pPr>
            <w:r>
              <w:rPr>
                <w:b/>
                <w:sz w:val="18"/>
              </w:rPr>
              <w:t>50</w:t>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jc w:val="right"/>
              <w:rPr/>
            </w:pPr>
            <w:r>
              <w:rPr>
                <w:b/>
                <w:sz w:val="18"/>
              </w:rPr>
              <w:t>13,500</w:t>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widowControl/>
              <w:bidi w:val="0"/>
              <w:spacing w:lineRule="auto" w:line="276" w:before="0" w:after="200"/>
              <w:jc w:val="left"/>
              <w:rPr/>
            </w:pPr>
            <w:r>
              <w:rPr/>
            </w:r>
          </w:p>
        </w:tc>
      </w:tr>
    </w:tbl>
    <w:p>
      <w:pPr>
        <w:pStyle w:val="Normal"/>
        <w:rPr/>
      </w:pPr>
      <w:r>
        <w:rPr/>
      </w:r>
    </w:p>
    <w:p>
      <w:pPr>
        <w:pStyle w:val="Heading2"/>
        <w:rPr/>
      </w:pPr>
      <w:r>
        <w:rPr>
          <w:color w:val="1F3A68"/>
        </w:rPr>
        <w:t>3.3 Additional supporting tasks (added by Kamacode)</w:t>
      </w:r>
    </w:p>
    <w:p>
      <w:pPr>
        <w:pStyle w:val="Normal"/>
        <w:spacing w:before="0" w:after="80"/>
        <w:rPr/>
      </w:pPr>
      <w:r>
        <w:rPr>
          <w:b w:val="false"/>
          <w:sz w:val="20"/>
        </w:rPr>
        <w:t>These tasks are not itemised in the client WBS but are required to deliver it: kickoff and design review, resolution of the protocol "TBD" items in the client doc, build/toolchain bring-up, end-to-end acceptance soak, and release documentation.</w:t>
      </w:r>
    </w:p>
    <w:tbl>
      <w:tblPr>
        <w:tblW w:w="99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94"/>
        <w:gridCol w:w="1994"/>
        <w:gridCol w:w="1994"/>
        <w:gridCol w:w="1994"/>
        <w:gridCol w:w="1994"/>
      </w:tblGrid>
      <w:tr>
        <w:trPr/>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ID</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Task</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Hours</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NIS</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rPr/>
            </w:pPr>
            <w:r>
              <w:rPr>
                <w:b/>
                <w:sz w:val="18"/>
              </w:rPr>
              <w:t>Milestone</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A1</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Kickoff &amp; joint design review — architecture, electrical/pin map (J503), USB-UART arbitration, resolution of TBD protocol items</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6,480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M1</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A2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Inter-board UART protocol specification — alert framing and JPEG transport (resolves WBS "Protocol TBD")</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8</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2,160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M1</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A3</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MangOH ↔ control-centre server protocol specification (resolves WBS "Protocol TBD")</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8</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2,160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M1</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A4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Build / toolchain / repo bring-up for both targets (N6Cam firmware + MangOH application)</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3,240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M1</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A5</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Bench acceptance test procedure execution end-to-end, including ≥ 24 h soak</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3,240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M5</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A6</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18"/>
              </w:rPr>
              <w:t>Final documentation — integration document, operations runbook, build/toolchain instructions, release notes</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1,080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sz w:val="18"/>
              </w:rPr>
              <w:t>M5</w:t>
            </w:r>
          </w:p>
        </w:tc>
      </w:tr>
      <w:tr>
        <w:trPr/>
        <w:tc>
          <w:tcPr>
            <w:tcW w:w="3988" w:type="dxa"/>
            <w:gridSpan w:val="2"/>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18"/>
              </w:rPr>
              <w:t>Additional subtotal</w:t>
            </w:r>
          </w:p>
          <w:p>
            <w:pPr>
              <w:pStyle w:val="Normal"/>
              <w:widowControl/>
              <w:bidi w:val="0"/>
              <w:spacing w:lineRule="auto" w:line="276" w:before="0" w:after="200"/>
              <w:jc w:val="left"/>
              <w:rPr/>
            </w:pPr>
            <w:r>
              <w:rPr/>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jc w:val="right"/>
              <w:rPr/>
            </w:pPr>
            <w:r>
              <w:rPr>
                <w:b/>
                <w:sz w:val="18"/>
              </w:rPr>
              <w:t>68</w:t>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jc w:val="right"/>
              <w:rPr/>
            </w:pPr>
            <w:r>
              <w:rPr>
                <w:b/>
                <w:sz w:val="18"/>
              </w:rPr>
              <w:t>18,360</w:t>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widowControl/>
              <w:bidi w:val="0"/>
              <w:spacing w:lineRule="auto" w:line="276" w:before="0" w:after="200"/>
              <w:jc w:val="left"/>
              <w:rPr/>
            </w:pPr>
            <w:r>
              <w:rPr/>
            </w:r>
          </w:p>
        </w:tc>
      </w:tr>
    </w:tbl>
    <w:p>
      <w:pPr>
        <w:pStyle w:val="Normal"/>
        <w:rPr/>
      </w:pPr>
      <w:r>
        <w:rPr/>
      </w:r>
    </w:p>
    <w:p>
      <w:pPr>
        <w:pStyle w:val="Heading2"/>
        <w:rPr/>
      </w:pPr>
      <w:r>
        <w:rPr>
          <w:color w:val="1F3A68"/>
        </w:rPr>
        <w:t>3.4 Project total</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86"/>
        <w:gridCol w:w="4985"/>
      </w:tblGrid>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Total effort</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300 hours</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Hourly rate</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270 NIS / hour</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Project total (excl. VAT)</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 xml:space="preserve">₪ </w:t>
            </w:r>
            <w:r>
              <w:rPr>
                <w:sz w:val="20"/>
              </w:rPr>
              <w:t>81,000</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Verification</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300 h × 270 NIS = ₪ 81,000</w:t>
            </w:r>
          </w:p>
        </w:tc>
      </w:tr>
    </w:tbl>
    <w:p>
      <w:pPr>
        <w:pStyle w:val="Normal"/>
        <w:rPr/>
      </w:pPr>
      <w:r>
        <w:rPr/>
      </w:r>
    </w:p>
    <w:p>
      <w:pPr>
        <w:pStyle w:val="Heading1"/>
        <w:rPr/>
      </w:pPr>
      <w:r>
        <w:rPr>
          <w:color w:val="1F3A68"/>
        </w:rPr>
        <w:t>4. Milestones &amp; Payment Schedule</w:t>
      </w:r>
    </w:p>
    <w:p>
      <w:pPr>
        <w:pStyle w:val="Normal"/>
        <w:spacing w:before="0" w:after="80"/>
        <w:rPr/>
      </w:pPr>
      <w:r>
        <w:rPr>
          <w:b w:val="false"/>
          <w:sz w:val="20"/>
        </w:rPr>
        <w:t>Each milestone bundles a subset of the WBS task IDs from §3 for acceptance and payment. The Hours and Payment columns below are computed directly from the per-task hours in §3 (× 270 NIS); the % column is derived from the same hours. Totals reconcile to 300 h / ₪ 81,000. Payment is triggered on acceptance of the milestone deliverables.</w:t>
      </w:r>
    </w:p>
    <w:tbl>
      <w:tblPr>
        <w:tblW w:w="99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94"/>
        <w:gridCol w:w="1994"/>
        <w:gridCol w:w="1994"/>
        <w:gridCol w:w="1994"/>
        <w:gridCol w:w="1994"/>
      </w:tblGrid>
      <w:tr>
        <w:trPr/>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jc w:val="center"/>
              <w:rPr/>
            </w:pPr>
            <w:r>
              <w:rPr>
                <w:b/>
                <w:sz w:val="18"/>
              </w:rPr>
              <w:t>#</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jc w:val="center"/>
              <w:rPr/>
            </w:pPr>
            <w:r>
              <w:rPr>
                <w:b/>
                <w:sz w:val="18"/>
              </w:rPr>
              <w:t>Scope (cross-references the WBS task IDs in §3)</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jc w:val="center"/>
              <w:rPr/>
            </w:pPr>
            <w:r>
              <w:rPr>
                <w:b/>
                <w:sz w:val="18"/>
              </w:rPr>
              <w:t>Hours</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jc w:val="center"/>
              <w:rPr/>
            </w:pPr>
            <w:r>
              <w:rPr>
                <w:b/>
                <w:sz w:val="18"/>
              </w:rPr>
              <w:t>Payment (NIS)</w:t>
            </w:r>
          </w:p>
        </w:tc>
        <w:tc>
          <w:tcPr>
            <w:tcW w:w="1994" w:type="dxa"/>
            <w:tcBorders>
              <w:top w:val="single" w:sz="4" w:space="0" w:color="888888"/>
              <w:left w:val="single" w:sz="4" w:space="0" w:color="888888"/>
              <w:bottom w:val="single" w:sz="4" w:space="0" w:color="888888"/>
              <w:right w:val="single" w:sz="4" w:space="0" w:color="888888"/>
            </w:tcBorders>
            <w:shd w:color="auto" w:fill="D9E1F2" w:val="clear"/>
          </w:tcPr>
          <w:p>
            <w:pPr>
              <w:pStyle w:val="Normal"/>
              <w:spacing w:before="0" w:after="0"/>
              <w:jc w:val="center"/>
              <w:rPr/>
            </w:pPr>
            <w:r>
              <w:rPr>
                <w:b/>
                <w:sz w:val="18"/>
              </w:rPr>
              <w:t>%</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b/>
                <w:sz w:val="18"/>
              </w:rPr>
              <w:t>M1</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left"/>
              <w:rPr/>
            </w:pPr>
            <w:r>
              <w:rPr>
                <w:sz w:val="18"/>
              </w:rPr>
              <w:t>Kickoff &amp; Design Review — A1, A2, A3, A4. Architecture &amp; design document, electrical/pin map, protocol specs (inter-board UART, MangOH↔server), J503 pinout (7/9/11/13, 3.3 V) and host-USB UART arbitration, SD-card directory + event-log format, RTC time-source-over-USB scheme, IR-LED and motion-sensor command set, build/toolchain bring-up.</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52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14,040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b/>
                <w:sz w:val="18"/>
              </w:rPr>
              <w:t>17 %</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b/>
                <w:sz w:val="18"/>
              </w:rPr>
              <w:t>M2</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left"/>
              <w:rPr/>
            </w:pPr>
            <w:r>
              <w:rPr>
                <w:sz w:val="18"/>
              </w:rPr>
              <w:t>Detection, JPEG Capture &amp; SD Storage — W5, W6, W7, W8, W9, W10, W12, W14. Person and vehicle detection, JPEG capture on every new object, runtime-tunable HAL_JPEG_ConfigEncoding, FAT32 format/mount of the SunDisk C4 SD card, per-event JPEG to SD plus append-only event log, RAM release once SD-write + UART-send have both completed.</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106</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28,620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b/>
                <w:sz w:val="18"/>
              </w:rPr>
              <w:t>36 %</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b/>
                <w:sz w:val="18"/>
              </w:rPr>
              <w:t>M3</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left"/>
              <w:rPr/>
            </w:pPr>
            <w:r>
              <w:rPr>
                <w:sz w:val="18"/>
              </w:rPr>
              <w:t>External UART Links &amp; USB Control Plane — W2, W3, W4, W11, W13, W15, W16. Host UART tunnelled over USB on the N6Cam, UART link to the Yellow MangOH on J503, alert message and JPEG sent to the MangOH per the M1 protocol, USB control-plane command set: RTC time-set, IR-LED on/off, motion-sensor enable/disable.</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76</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20,520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b/>
                <w:sz w:val="18"/>
              </w:rPr>
              <w:t>25 %</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b/>
                <w:sz w:val="18"/>
              </w:rPr>
              <w:t>M4</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left"/>
              <w:rPr/>
            </w:pPr>
            <w:r>
              <w:rPr>
                <w:sz w:val="18"/>
              </w:rPr>
              <w:t>Yellow MangOH Integration &amp; Modem Forwarding — W17, W18, W19. UART listener on the inter-board link, characterisation of the maximum reliable UART line-rate between the two dev kits, parsing of alert messages and JPEG frames, forwarding of each event to the control-centre server over the WP7607 modem per the M1 protocol, with connection-state handling and basic retry.</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50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13,500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b/>
                <w:sz w:val="18"/>
              </w:rPr>
              <w:t>17 %</w:t>
            </w:r>
          </w:p>
        </w:tc>
      </w:tr>
      <w:tr>
        <w:trPr/>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b/>
                <w:sz w:val="18"/>
              </w:rPr>
              <w:t>M5</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left"/>
              <w:rPr/>
            </w:pPr>
            <w:r>
              <w:rPr>
                <w:sz w:val="18"/>
              </w:rPr>
              <w:t>Integration, Acceptance &amp; Release — A5, A6. End-to-end execution of the bench acceptance test procedure across both dev kits including a ≥ 24 h soak; release of the N6Cam firmware binary, MangOH application binary, integration document, operations runbook, build/toolchain instructions, release notes.</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16</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right"/>
              <w:rPr/>
            </w:pPr>
            <w:r>
              <w:rPr>
                <w:sz w:val="18"/>
              </w:rPr>
              <w:t>4,320</w:t>
            </w:r>
          </w:p>
        </w:tc>
        <w:tc>
          <w:tcPr>
            <w:tcW w:w="1994" w:type="dxa"/>
            <w:tcBorders>
              <w:top w:val="single" w:sz="4" w:space="0" w:color="888888"/>
              <w:left w:val="single" w:sz="4" w:space="0" w:color="888888"/>
              <w:bottom w:val="single" w:sz="4" w:space="0" w:color="888888"/>
              <w:right w:val="single" w:sz="4" w:space="0" w:color="888888"/>
            </w:tcBorders>
          </w:tcPr>
          <w:p>
            <w:pPr>
              <w:pStyle w:val="Normal"/>
              <w:spacing w:before="0" w:after="0"/>
              <w:jc w:val="center"/>
              <w:rPr/>
            </w:pPr>
            <w:r>
              <w:rPr>
                <w:b/>
                <w:sz w:val="18"/>
              </w:rPr>
              <w:t>5 %</w:t>
            </w:r>
          </w:p>
        </w:tc>
      </w:tr>
      <w:tr>
        <w:trPr/>
        <w:tc>
          <w:tcPr>
            <w:tcW w:w="3988" w:type="dxa"/>
            <w:gridSpan w:val="2"/>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jc w:val="right"/>
              <w:rPr/>
            </w:pPr>
            <w:r>
              <w:rPr>
                <w:b/>
                <w:sz w:val="18"/>
              </w:rPr>
              <w:t>Total</w:t>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jc w:val="right"/>
              <w:rPr/>
            </w:pPr>
            <w:r>
              <w:rPr>
                <w:b/>
                <w:sz w:val="18"/>
              </w:rPr>
              <w:t>300</w:t>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jc w:val="right"/>
              <w:rPr/>
            </w:pPr>
            <w:r>
              <w:rPr>
                <w:b/>
                <w:sz w:val="18"/>
              </w:rPr>
              <w:t>81,000</w:t>
            </w:r>
          </w:p>
        </w:tc>
        <w:tc>
          <w:tcPr>
            <w:tcW w:w="1994"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jc w:val="center"/>
              <w:rPr/>
            </w:pPr>
            <w:r>
              <w:rPr>
                <w:b/>
                <w:sz w:val="18"/>
              </w:rPr>
              <w:t>100 %</w:t>
            </w:r>
          </w:p>
        </w:tc>
      </w:tr>
    </w:tbl>
    <w:p>
      <w:pPr>
        <w:pStyle w:val="Normal"/>
        <w:rPr/>
      </w:pPr>
      <w:r>
        <w:rPr/>
      </w:r>
    </w:p>
    <w:p>
      <w:pPr>
        <w:pStyle w:val="Heading1"/>
        <w:rPr/>
      </w:pPr>
      <w:r>
        <w:rPr>
          <w:color w:val="1F3A68"/>
        </w:rPr>
        <w:t>5. Commercial Summary</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86"/>
        <w:gridCol w:w="4985"/>
      </w:tblGrid>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Total effort</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300 hours</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Hourly rate</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255</w:t>
            </w:r>
            <w:r>
              <w:rPr>
                <w:sz w:val="20"/>
              </w:rPr>
              <w:t xml:space="preserve"> NIS / hour</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Project total (excl. VAT)</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 xml:space="preserve">₪ </w:t>
            </w:r>
            <w:r>
              <w:rPr>
                <w:sz w:val="20"/>
              </w:rPr>
              <w:t>76,500</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Currency</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NIS (Israeli New Shekel)</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Payment schedule</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Milestone-based, per the per-milestone amounts in the table in §4 (each = milestone hours × 270 NIS)</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Payment trigger</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On deliverable acceptance, per milestone</w:t>
            </w:r>
          </w:p>
        </w:tc>
      </w:tr>
      <w:tr>
        <w:trPr/>
        <w:tc>
          <w:tcPr>
            <w:tcW w:w="4986" w:type="dxa"/>
            <w:tcBorders>
              <w:top w:val="single" w:sz="4" w:space="0" w:color="888888"/>
              <w:left w:val="single" w:sz="4" w:space="0" w:color="888888"/>
              <w:bottom w:val="single" w:sz="4" w:space="0" w:color="888888"/>
              <w:right w:val="single" w:sz="4" w:space="0" w:color="888888"/>
            </w:tcBorders>
            <w:shd w:color="auto" w:fill="F2F2F2" w:val="clear"/>
          </w:tcPr>
          <w:p>
            <w:pPr>
              <w:pStyle w:val="Normal"/>
              <w:spacing w:before="0" w:after="0"/>
              <w:rPr/>
            </w:pPr>
            <w:r>
              <w:rPr>
                <w:b/>
                <w:sz w:val="20"/>
              </w:rPr>
              <w:t>Payment terms</w:t>
            </w:r>
          </w:p>
        </w:tc>
        <w:tc>
          <w:tcPr>
            <w:tcW w:w="4985" w:type="dxa"/>
            <w:tcBorders>
              <w:top w:val="single" w:sz="4" w:space="0" w:color="888888"/>
              <w:left w:val="single" w:sz="4" w:space="0" w:color="888888"/>
              <w:bottom w:val="single" w:sz="4" w:space="0" w:color="888888"/>
              <w:right w:val="single" w:sz="4" w:space="0" w:color="888888"/>
            </w:tcBorders>
          </w:tcPr>
          <w:p>
            <w:pPr>
              <w:pStyle w:val="Normal"/>
              <w:spacing w:before="0" w:after="0"/>
              <w:rPr/>
            </w:pPr>
            <w:r>
              <w:rPr>
                <w:sz w:val="20"/>
              </w:rPr>
              <w:t>Net-30 from invoice date</w:t>
            </w:r>
          </w:p>
        </w:tc>
      </w:tr>
    </w:tbl>
    <w:p>
      <w:pPr>
        <w:pStyle w:val="Normal"/>
        <w:rPr/>
      </w:pPr>
      <w:r>
        <w:rPr/>
      </w:r>
    </w:p>
    <w:p>
      <w:pPr>
        <w:pStyle w:val="Heading1"/>
        <w:rPr/>
      </w:pPr>
      <w:r>
        <w:rPr>
          <w:color w:val="1F3A68"/>
        </w:rPr>
        <w:t>6. Assumptions and Exclusions</w:t>
      </w:r>
    </w:p>
    <w:p>
      <w:pPr>
        <w:pStyle w:val="Heading2"/>
        <w:rPr/>
      </w:pPr>
      <w:r>
        <w:rPr>
          <w:color w:val="1F3A68"/>
        </w:rPr>
        <w:t>6.1 Assumptions</w:t>
      </w:r>
    </w:p>
    <w:p>
      <w:pPr>
        <w:pStyle w:val="ListBullet"/>
        <w:numPr>
          <w:ilvl w:val="0"/>
          <w:numId w:val="1"/>
        </w:numPr>
        <w:spacing w:before="0" w:after="40"/>
        <w:contextualSpacing/>
        <w:rPr/>
      </w:pPr>
      <w:r>
        <w:rPr>
          <w:sz w:val="20"/>
        </w:rPr>
        <w:t>SIANA N6Cam hardware/BSP/base SDK and Sierra Wireless Yellow MangOH dev kit (with WP7607 modem, activated SIM, and Legato/base BSP) are provided in working condition by ITP/Novex.</w:t>
      </w:r>
    </w:p>
    <w:p>
      <w:pPr>
        <w:pStyle w:val="ListBullet"/>
        <w:numPr>
          <w:ilvl w:val="0"/>
          <w:numId w:val="1"/>
        </w:numPr>
        <w:spacing w:before="0" w:after="40"/>
        <w:contextualSpacing/>
        <w:rPr/>
      </w:pPr>
      <w:r>
        <w:rPr>
          <w:sz w:val="20"/>
        </w:rPr>
        <w:t>The stock SIANA detection model(s) for people and vehicles are reused. Training or sourcing a custom model for either class is out of scope.</w:t>
      </w:r>
    </w:p>
    <w:p>
      <w:pPr>
        <w:pStyle w:val="ListBullet"/>
        <w:numPr>
          <w:ilvl w:val="0"/>
          <w:numId w:val="1"/>
        </w:numPr>
        <w:spacing w:before="0" w:after="40"/>
        <w:contextualSpacing/>
        <w:rPr/>
      </w:pPr>
      <w:r>
        <w:rPr>
          <w:sz w:val="20"/>
        </w:rPr>
        <w:t>FAT32 on a SunDisk Class 4 (C4) SD card is acceptable; the on-device driver supports format, mount, and clean unmount.</w:t>
      </w:r>
    </w:p>
    <w:p>
      <w:pPr>
        <w:pStyle w:val="ListBullet"/>
        <w:numPr>
          <w:ilvl w:val="0"/>
          <w:numId w:val="1"/>
        </w:numPr>
        <w:spacing w:before="0" w:after="40"/>
        <w:contextualSpacing/>
        <w:rPr/>
      </w:pPr>
      <w:r>
        <w:rPr>
          <w:sz w:val="20"/>
        </w:rPr>
        <w:t>Two UART channels are available on the N6Cam: one tunnelled over USB to the host, one to the Yellow MangOH on J503 pins 7/9/11/13 (3.3 V). Inter-board UART protocol (alert framing + JPEG transport) and the MangOH↔server protocol are agreed during M1 (tasks A2, A3).</w:t>
      </w:r>
    </w:p>
    <w:p>
      <w:pPr>
        <w:pStyle w:val="ListBullet"/>
        <w:numPr>
          <w:ilvl w:val="0"/>
          <w:numId w:val="1"/>
        </w:numPr>
        <w:spacing w:before="0" w:after="40"/>
        <w:contextualSpacing/>
        <w:rPr/>
      </w:pPr>
      <w:r>
        <w:rPr>
          <w:sz w:val="20"/>
        </w:rPr>
        <w:t>USB control-plane command IDs for RTC set, IR-LED, and motion-sensor are confirmed during M1.</w:t>
      </w:r>
    </w:p>
    <w:p>
      <w:pPr>
        <w:pStyle w:val="ListBullet"/>
        <w:numPr>
          <w:ilvl w:val="0"/>
          <w:numId w:val="1"/>
        </w:numPr>
        <w:spacing w:before="0" w:after="40"/>
        <w:contextualSpacing/>
        <w:rPr/>
      </w:pPr>
      <w:r>
        <w:rPr>
          <w:sz w:val="20"/>
        </w:rPr>
        <w:t>Time source: the N6Cam RTC is initialised from current-time data injected by the host over USB; monotonic timestamps are used between syncs.</w:t>
      </w:r>
    </w:p>
    <w:p>
      <w:pPr>
        <w:pStyle w:val="ListBullet"/>
        <w:numPr>
          <w:ilvl w:val="0"/>
          <w:numId w:val="1"/>
        </w:numPr>
        <w:spacing w:before="0" w:after="40"/>
        <w:contextualSpacing/>
        <w:rPr/>
      </w:pPr>
      <w:r>
        <w:rPr>
          <w:sz w:val="20"/>
        </w:rPr>
        <w:t>The control-centre server endpoint, transport (TCP/HTTPS/MQTT TBD), and credentials for the WP7607-side connection are provided by ITP/Novex; protocol spec is agreed during M1 (task A3).</w:t>
      </w:r>
    </w:p>
    <w:p>
      <w:pPr>
        <w:pStyle w:val="ListBullet"/>
        <w:numPr>
          <w:ilvl w:val="0"/>
          <w:numId w:val="1"/>
        </w:numPr>
        <w:spacing w:before="0" w:after="40"/>
        <w:contextualSpacing/>
        <w:rPr/>
      </w:pPr>
      <w:r>
        <w:rPr>
          <w:sz w:val="20"/>
        </w:rPr>
        <w:t>ITP/Novex provides hardware units (N6Cam, Yellow MangOH with WP7607 + SIM, and a SunDisk C4 SD-card test fixture) and timely access to a technical point of contact.</w:t>
      </w:r>
    </w:p>
    <w:p>
      <w:pPr>
        <w:pStyle w:val="ListBullet"/>
        <w:numPr>
          <w:ilvl w:val="0"/>
          <w:numId w:val="1"/>
        </w:numPr>
        <w:spacing w:before="0" w:after="40"/>
        <w:contextualSpacing/>
        <w:rPr/>
      </w:pPr>
      <w:r>
        <w:rPr>
          <w:sz w:val="20"/>
        </w:rPr>
        <w:t>WBS item W1 (basic USB video streaming) is already delivered and is listed at zero hours for traceability.</w:t>
      </w:r>
    </w:p>
    <w:p>
      <w:pPr>
        <w:pStyle w:val="Heading2"/>
        <w:rPr/>
      </w:pPr>
      <w:r>
        <w:rPr>
          <w:color w:val="1F3A68"/>
        </w:rPr>
        <w:t>6.2 Exclusions</w:t>
      </w:r>
    </w:p>
    <w:p>
      <w:pPr>
        <w:pStyle w:val="ListBullet"/>
        <w:numPr>
          <w:ilvl w:val="0"/>
          <w:numId w:val="1"/>
        </w:numPr>
        <w:spacing w:before="0" w:after="40"/>
        <w:contextualSpacing/>
        <w:rPr/>
      </w:pPr>
      <w:r>
        <w:rPr>
          <w:sz w:val="20"/>
        </w:rPr>
        <w:t>SIANA, Sierra Wireless, and SD-card hardware; optics, mechanical enclosure, and power design.</w:t>
      </w:r>
    </w:p>
    <w:p>
      <w:pPr>
        <w:pStyle w:val="ListBullet"/>
        <w:numPr>
          <w:ilvl w:val="0"/>
          <w:numId w:val="1"/>
        </w:numPr>
        <w:spacing w:before="0" w:after="40"/>
        <w:contextualSpacing/>
        <w:rPr/>
      </w:pPr>
      <w:r>
        <w:rPr>
          <w:sz w:val="20"/>
        </w:rPr>
        <w:t>Production programming, manufacturing-line bring-up, and field rollout.</w:t>
      </w:r>
    </w:p>
    <w:p>
      <w:pPr>
        <w:pStyle w:val="ListBullet"/>
        <w:numPr>
          <w:ilvl w:val="0"/>
          <w:numId w:val="1"/>
        </w:numPr>
        <w:spacing w:before="0" w:after="40"/>
        <w:contextualSpacing/>
        <w:rPr/>
      </w:pPr>
      <w:r>
        <w:rPr>
          <w:sz w:val="20"/>
        </w:rPr>
        <w:t>Regulatory or EMC compliance work.</w:t>
      </w:r>
    </w:p>
    <w:p>
      <w:pPr>
        <w:pStyle w:val="ListBullet"/>
        <w:numPr>
          <w:ilvl w:val="0"/>
          <w:numId w:val="1"/>
        </w:numPr>
        <w:spacing w:before="0" w:after="40"/>
        <w:contextualSpacing/>
        <w:rPr/>
      </w:pPr>
      <w:r>
        <w:rPr>
          <w:sz w:val="20"/>
        </w:rPr>
        <w:t>Implementation or hosting of the control-centre server itself; back-office integration beyond delivering events to the agreed server endpoint.</w:t>
      </w:r>
    </w:p>
    <w:p>
      <w:pPr>
        <w:pStyle w:val="ListBullet"/>
        <w:numPr>
          <w:ilvl w:val="0"/>
          <w:numId w:val="1"/>
        </w:numPr>
        <w:spacing w:before="0" w:after="40"/>
        <w:contextualSpacing/>
        <w:rPr/>
      </w:pPr>
      <w:r>
        <w:rPr>
          <w:sz w:val="20"/>
        </w:rPr>
        <w:t>Training of an end-user-specific detection model (people or vehicle).</w:t>
      </w:r>
    </w:p>
    <w:p>
      <w:pPr>
        <w:pStyle w:val="ListBullet"/>
        <w:numPr>
          <w:ilvl w:val="0"/>
          <w:numId w:val="1"/>
        </w:numPr>
        <w:spacing w:before="0" w:after="40"/>
        <w:contextualSpacing/>
        <w:rPr/>
      </w:pPr>
      <w:r>
        <w:rPr>
          <w:sz w:val="20"/>
        </w:rPr>
        <w:t>On-site support outside of remote acceptance review.</w:t>
      </w:r>
    </w:p>
    <w:p>
      <w:pPr>
        <w:pStyle w:val="Heading1"/>
        <w:rPr/>
      </w:pPr>
      <w:r>
        <w:rPr>
          <w:color w:val="1F3A68"/>
        </w:rPr>
        <w:t>7. Schedule</w:t>
      </w:r>
    </w:p>
    <w:p>
      <w:pPr>
        <w:pStyle w:val="Normal"/>
        <w:spacing w:before="0" w:after="80"/>
        <w:rPr/>
      </w:pPr>
      <w:r>
        <w:rPr>
          <w:b w:val="false"/>
          <w:sz w:val="22"/>
        </w:rPr>
        <w:t>Indicative duration is approximately 10 to 12 calendar weeks from kickoff to M5 acceptance, assuming hardware availability at M1 and a single-track engagement. A detailed timeline with target dates is fixed at M1 sign-off.</w:t>
      </w:r>
    </w:p>
    <w:p>
      <w:pPr>
        <w:pStyle w:val="Heading1"/>
        <w:rPr/>
      </w:pPr>
      <w:r>
        <w:rPr>
          <w:color w:val="1F3A68"/>
        </w:rPr>
        <w:t>8. Authorization</w:t>
      </w:r>
    </w:p>
    <w:p>
      <w:pPr>
        <w:pStyle w:val="Normal"/>
        <w:spacing w:before="0" w:after="80"/>
        <w:rPr/>
      </w:pPr>
      <w:r>
        <w:rPr>
          <w:b w:val="false"/>
          <w:sz w:val="22"/>
        </w:rPr>
        <w:t>Acceptance of this proposal authorizes Kamacode Ltd. to begin Milestone 1. Signature below constitutes agreement to the scope, WBS task breakdown, milestones, effort, rate, and commercial terms set out in this document.</w:t>
      </w:r>
    </w:p>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86"/>
        <w:gridCol w:w="4985"/>
      </w:tblGrid>
      <w:tr>
        <w:trPr/>
        <w:tc>
          <w:tcPr>
            <w:tcW w:w="4986" w:type="dxa"/>
            <w:tcBorders/>
          </w:tcPr>
          <w:p>
            <w:pPr>
              <w:pStyle w:val="Normal"/>
              <w:spacing w:before="0" w:after="0"/>
              <w:rPr/>
            </w:pPr>
            <w:r>
              <w:rPr>
                <w:b/>
                <w:sz w:val="22"/>
              </w:rPr>
              <w:t>For Kamacode Ltd.</w:t>
            </w:r>
          </w:p>
        </w:tc>
        <w:tc>
          <w:tcPr>
            <w:tcW w:w="4985" w:type="dxa"/>
            <w:tcBorders/>
          </w:tcPr>
          <w:p>
            <w:pPr>
              <w:pStyle w:val="Normal"/>
              <w:spacing w:before="0" w:after="0"/>
              <w:rPr/>
            </w:pPr>
            <w:r>
              <w:rPr>
                <w:b/>
                <w:sz w:val="22"/>
              </w:rPr>
              <w:t>For ITP / Novex</w:t>
            </w:r>
          </w:p>
        </w:tc>
      </w:tr>
      <w:tr>
        <w:trPr/>
        <w:tc>
          <w:tcPr>
            <w:tcW w:w="4986" w:type="dxa"/>
            <w:tcBorders/>
          </w:tcPr>
          <w:p>
            <w:pPr>
              <w:pStyle w:val="Normal"/>
              <w:spacing w:before="0" w:after="0"/>
              <w:rPr/>
            </w:pPr>
            <w:r>
              <w:rPr>
                <w:b w:val="false"/>
                <w:sz w:val="22"/>
              </w:rPr>
              <w:t>Ilan Ganor, CEO</w:t>
            </w:r>
          </w:p>
          <w:p>
            <w:pPr>
              <w:pStyle w:val="Normal"/>
              <w:spacing w:before="0" w:after="0"/>
              <w:rPr/>
            </w:pPr>
            <w:r>
              <w:rPr>
                <w:sz w:val="20"/>
              </w:rPr>
              <w:t>Signature / Date</w:t>
            </w:r>
          </w:p>
        </w:tc>
        <w:tc>
          <w:tcPr>
            <w:tcW w:w="4985" w:type="dxa"/>
            <w:tcBorders/>
          </w:tcPr>
          <w:p>
            <w:pPr>
              <w:pStyle w:val="Normal"/>
              <w:spacing w:before="0" w:after="0"/>
              <w:rPr/>
            </w:pPr>
            <w:r>
              <w:rPr>
                <w:b w:val="false"/>
                <w:sz w:val="22"/>
              </w:rPr>
              <w:t>Name / Title</w:t>
            </w:r>
          </w:p>
          <w:p>
            <w:pPr>
              <w:pStyle w:val="Normal"/>
              <w:spacing w:before="0" w:after="0"/>
              <w:rPr/>
            </w:pPr>
            <w:r>
              <w:rPr>
                <w:sz w:val="20"/>
              </w:rPr>
              <w:t>Signature / Date</w:t>
            </w:r>
          </w:p>
        </w:tc>
      </w:tr>
    </w:tbl>
    <w:sectPr>
      <w:type w:val="nextPage"/>
      <w:pgSz w:w="12240" w:h="15840"/>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9</Pages>
  <Words>1668</Words>
  <Characters>8815</Characters>
  <CharactersWithSpaces>10211</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2026-05-22T12:23:27Z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