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317524" w:rsidRDefault="00317524" w:rsidP="00317524">
      <w:pPr>
        <w:pStyle w:val="Heading1"/>
      </w:pPr>
      <w:r>
        <w:t>Meeting Minutes – Material Parameters &amp; Reporting Harmonisation</w:t>
      </w:r>
    </w:p>
    <w:p w:rsidR="00317524" w:rsidRDefault="00317524" w:rsidP="00317524">
      <w:pPr>
        <w:pStyle w:val="NormalWeb"/>
      </w:pPr>
      <w:r>
        <w:rPr>
          <w:rStyle w:val="Strong"/>
        </w:rPr>
        <w:t>Date:</w:t>
      </w:r>
      <w:r>
        <w:t xml:space="preserve"> </w:t>
      </w:r>
      <w:r>
        <w:t>20-May-26</w:t>
      </w:r>
      <w:r>
        <w:br/>
      </w:r>
      <w:r>
        <w:rPr>
          <w:rStyle w:val="Strong"/>
        </w:rPr>
        <w:t>Attendees:</w:t>
      </w:r>
      <w:r>
        <w:t xml:space="preserve"> Dale,</w:t>
      </w:r>
      <w:r>
        <w:t xml:space="preserve"> </w:t>
      </w:r>
      <w:r w:rsidR="00FD12D9">
        <w:t>Rachel</w:t>
      </w:r>
      <w:r w:rsidR="00FD12D9">
        <w:t xml:space="preserve">, </w:t>
      </w:r>
      <w:r w:rsidR="00FD12D9">
        <w:t>Tom</w:t>
      </w:r>
      <w:r w:rsidR="00FD12D9">
        <w:t xml:space="preserve">, </w:t>
      </w:r>
      <w:proofErr w:type="spellStart"/>
      <w:r>
        <w:t>Mamun</w:t>
      </w:r>
      <w:proofErr w:type="spellEnd"/>
      <w:r>
        <w:t xml:space="preserve">, </w:t>
      </w:r>
      <w:r>
        <w:t>Shelley</w:t>
      </w:r>
      <w:r>
        <w:t>,</w:t>
      </w:r>
      <w:r w:rsidR="00FD12D9">
        <w:t xml:space="preserve"> </w:t>
      </w:r>
      <w:r w:rsidR="00FD12D9">
        <w:t>Dan</w:t>
      </w:r>
      <w:r w:rsidR="00FD12D9">
        <w:t>,</w:t>
      </w:r>
      <w:r>
        <w:t xml:space="preserve"> </w:t>
      </w:r>
      <w:proofErr w:type="gramStart"/>
      <w:r>
        <w:t>Wei</w:t>
      </w:r>
      <w:proofErr w:type="gramEnd"/>
      <w:r>
        <w:t xml:space="preserve"> </w:t>
      </w:r>
    </w:p>
    <w:p w:rsidR="00317524" w:rsidRDefault="00317524" w:rsidP="00317524">
      <w:pPr>
        <w:pStyle w:val="Heading2"/>
      </w:pPr>
      <w:r>
        <w:t>Purpose of Meeting</w:t>
      </w:r>
    </w:p>
    <w:p w:rsidR="00317524" w:rsidRDefault="00317524" w:rsidP="00317524">
      <w:pPr>
        <w:pStyle w:val="NormalWeb"/>
      </w:pPr>
      <w:r>
        <w:t>To discuss:</w:t>
      </w:r>
    </w:p>
    <w:p w:rsidR="00317524" w:rsidRDefault="00317524" w:rsidP="0031752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Harmonisation of material parameter methodologies and monitoring/reporting processes </w:t>
      </w:r>
    </w:p>
    <w:p w:rsidR="00317524" w:rsidRDefault="00317524" w:rsidP="0031752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Reducing duplication of reporting and calculations </w:t>
      </w:r>
    </w:p>
    <w:p w:rsidR="00317524" w:rsidRDefault="00317524" w:rsidP="0031752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Increasing automation and objectivity in material parameter selection </w:t>
      </w:r>
    </w:p>
    <w:p w:rsidR="00317524" w:rsidRDefault="00317524" w:rsidP="0031752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Alignment between first and second line teams on governance and tooling </w:t>
      </w:r>
    </w:p>
    <w:p w:rsidR="00317524" w:rsidRDefault="00317524" w:rsidP="00317524">
      <w:r>
        <w:pict>
          <v:rect id="_x0000_i1025" style="width:0;height:1.5pt" o:hralign="center" o:hrstd="t" o:hr="t" fillcolor="#a0a0a0" stroked="f"/>
        </w:pict>
      </w:r>
    </w:p>
    <w:p w:rsidR="00317524" w:rsidRDefault="00317524" w:rsidP="00317524">
      <w:pPr>
        <w:pStyle w:val="Heading1"/>
      </w:pPr>
      <w:r>
        <w:t>Key Discussion Points</w:t>
      </w:r>
    </w:p>
    <w:p w:rsidR="00317524" w:rsidRDefault="00317524" w:rsidP="00317524">
      <w:pPr>
        <w:pStyle w:val="Heading2"/>
      </w:pPr>
      <w:r>
        <w:t>1. Principle of a “Golden Source” for Reporting</w:t>
      </w:r>
    </w:p>
    <w:p w:rsidR="00317524" w:rsidRDefault="00317524" w:rsidP="00317524">
      <w:pPr>
        <w:pStyle w:val="NormalWeb"/>
      </w:pPr>
      <w:r>
        <w:t>Dale reiterated the strategic objective that all teams should operate from:</w:t>
      </w:r>
    </w:p>
    <w:p w:rsidR="00317524" w:rsidRDefault="00317524" w:rsidP="0031752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single golden source of data</w:t>
      </w:r>
      <w:r>
        <w:t xml:space="preserve"> </w:t>
      </w:r>
    </w:p>
    <w:p w:rsidR="00317524" w:rsidRDefault="00317524" w:rsidP="0031752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Common QA/UAT-approved reports and tooling </w:t>
      </w:r>
    </w:p>
    <w:p w:rsidR="00317524" w:rsidRDefault="00317524" w:rsidP="0031752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Shared dashboards and monitoring outputs </w:t>
      </w:r>
    </w:p>
    <w:p w:rsidR="00317524" w:rsidRDefault="00317524" w:rsidP="00317524">
      <w:pPr>
        <w:pStyle w:val="NormalWeb"/>
      </w:pPr>
      <w:r>
        <w:t>The aim is to:</w:t>
      </w:r>
    </w:p>
    <w:p w:rsidR="00317524" w:rsidRDefault="00317524" w:rsidP="0031752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Avoid maintaining duplicate reports or methodologies </w:t>
      </w:r>
    </w:p>
    <w:p w:rsidR="00317524" w:rsidRDefault="00317524" w:rsidP="0031752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Eliminate disputes over “correct” data during governance forums </w:t>
      </w:r>
    </w:p>
    <w:p w:rsidR="00317524" w:rsidRDefault="00317524" w:rsidP="0031752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Focus discussions on risks/issues rather than data reconciliation </w:t>
      </w:r>
    </w:p>
    <w:p w:rsidR="00317524" w:rsidRDefault="00317524" w:rsidP="00317524">
      <w:pPr>
        <w:pStyle w:val="Heading3"/>
      </w:pPr>
      <w:r>
        <w:t>Exceptions</w:t>
      </w:r>
    </w:p>
    <w:p w:rsidR="00317524" w:rsidRDefault="00317524" w:rsidP="00317524">
      <w:pPr>
        <w:pStyle w:val="NormalWeb"/>
      </w:pPr>
      <w:r>
        <w:t>Independent calculations may still be appropriate for:</w:t>
      </w:r>
    </w:p>
    <w:p w:rsidR="00317524" w:rsidRDefault="00317524" w:rsidP="0031752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Risk appetite metrics </w:t>
      </w:r>
    </w:p>
    <w:p w:rsidR="00317524" w:rsidRDefault="00317524" w:rsidP="0031752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Board/ERC reporting </w:t>
      </w:r>
    </w:p>
    <w:p w:rsidR="00317524" w:rsidRDefault="00317524" w:rsidP="0031752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Areas with heightened regulatory concern or historical issues </w:t>
      </w:r>
    </w:p>
    <w:p w:rsidR="00317524" w:rsidRDefault="00317524" w:rsidP="00317524">
      <w:r>
        <w:pict>
          <v:rect id="_x0000_i1026" style="width:0;height:1.5pt" o:hralign="center" o:hrstd="t" o:hr="t" fillcolor="#a0a0a0" stroked="f"/>
        </w:pict>
      </w:r>
    </w:p>
    <w:p w:rsidR="00317524" w:rsidRDefault="00317524" w:rsidP="00317524">
      <w:pPr>
        <w:pStyle w:val="Heading2"/>
      </w:pPr>
      <w:r>
        <w:t>2. Data Harmonisation Programme</w:t>
      </w:r>
    </w:p>
    <w:p w:rsidR="00317524" w:rsidRDefault="00317524" w:rsidP="00317524">
      <w:pPr>
        <w:pStyle w:val="NormalWeb"/>
      </w:pPr>
      <w:r>
        <w:lastRenderedPageBreak/>
        <w:t>Dale summarised ongoing harmonisation work already underway, including:</w:t>
      </w:r>
    </w:p>
    <w:p w:rsidR="00317524" w:rsidRDefault="00317524" w:rsidP="0031752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Automation of PRC packs </w:t>
      </w:r>
    </w:p>
    <w:p w:rsidR="00317524" w:rsidRDefault="00317524" w:rsidP="0031752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Alignment of ERC/MMG/PRC reporting data sources </w:t>
      </w:r>
    </w:p>
    <w:p w:rsidR="00317524" w:rsidRDefault="00317524" w:rsidP="0031752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Improvements to APC, micro, and </w:t>
      </w:r>
      <w:proofErr w:type="spellStart"/>
      <w:r>
        <w:t>backtesting</w:t>
      </w:r>
      <w:proofErr w:type="spellEnd"/>
      <w:r>
        <w:t xml:space="preserve"> reports </w:t>
      </w:r>
    </w:p>
    <w:p w:rsidR="00317524" w:rsidRDefault="00317524" w:rsidP="0031752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Collaboration between CRD, ROD, and technology teams </w:t>
      </w:r>
    </w:p>
    <w:p w:rsidR="00317524" w:rsidRDefault="00317524" w:rsidP="00317524">
      <w:pPr>
        <w:pStyle w:val="NormalWeb"/>
      </w:pPr>
      <w:r>
        <w:t>Material parameters were identified as part of this broader reporting ecosystem.</w:t>
      </w:r>
    </w:p>
    <w:p w:rsidR="00317524" w:rsidRDefault="00317524" w:rsidP="00317524">
      <w:r>
        <w:pict>
          <v:rect id="_x0000_i1027" style="width:0;height:1.5pt" o:hralign="center" o:hrstd="t" o:hr="t" fillcolor="#a0a0a0" stroked="f"/>
        </w:pict>
      </w:r>
    </w:p>
    <w:p w:rsidR="00317524" w:rsidRDefault="00317524" w:rsidP="00317524">
      <w:pPr>
        <w:pStyle w:val="Heading2"/>
      </w:pPr>
      <w:r>
        <w:t>3. Governance of Material Parameter Calculations</w:t>
      </w:r>
    </w:p>
    <w:p w:rsidR="00317524" w:rsidRDefault="00317524" w:rsidP="00317524">
      <w:pPr>
        <w:pStyle w:val="NormalWeb"/>
      </w:pPr>
      <w:r>
        <w:t>Background provided:</w:t>
      </w:r>
    </w:p>
    <w:p w:rsidR="00317524" w:rsidRDefault="00317524" w:rsidP="0031752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 few years ago it was agreed that ROD/second line should calculate material parameters </w:t>
      </w:r>
    </w:p>
    <w:p w:rsidR="00317524" w:rsidRDefault="00317524" w:rsidP="0031752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This approach was viewed favourably by regulators because: </w:t>
      </w:r>
    </w:p>
    <w:p w:rsidR="00317524" w:rsidRDefault="00317524" w:rsidP="00317524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methodology was jointly agreed </w:t>
      </w:r>
    </w:p>
    <w:p w:rsidR="00317524" w:rsidRDefault="00317524" w:rsidP="00317524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execution was controlled independently by second line </w:t>
      </w:r>
    </w:p>
    <w:p w:rsidR="00317524" w:rsidRDefault="00317524" w:rsidP="00317524">
      <w:pPr>
        <w:pStyle w:val="NormalWeb"/>
      </w:pPr>
      <w:proofErr w:type="spellStart"/>
      <w:r>
        <w:t>Sotirios</w:t>
      </w:r>
      <w:proofErr w:type="spellEnd"/>
      <w:r>
        <w:t xml:space="preserve"> previously led enhancements to the methodology, but:</w:t>
      </w:r>
    </w:p>
    <w:p w:rsidR="00317524" w:rsidRDefault="00317524" w:rsidP="0031752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process still contained significant subjectivity </w:t>
      </w:r>
    </w:p>
    <w:p w:rsidR="00317524" w:rsidRDefault="00317524" w:rsidP="0031752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manual justification was repeatedly required </w:t>
      </w:r>
    </w:p>
    <w:p w:rsidR="00317524" w:rsidRDefault="00317524" w:rsidP="0031752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spreadsheets/manual intervention remained involved </w:t>
      </w:r>
    </w:p>
    <w:p w:rsidR="00317524" w:rsidRDefault="00317524" w:rsidP="00317524">
      <w:r>
        <w:pict>
          <v:rect id="_x0000_i1028" style="width:0;height:1.5pt" o:hralign="center" o:hrstd="t" o:hr="t" fillcolor="#a0a0a0" stroked="f"/>
        </w:pict>
      </w:r>
    </w:p>
    <w:p w:rsidR="00317524" w:rsidRDefault="00317524" w:rsidP="00317524">
      <w:pPr>
        <w:pStyle w:val="Heading2"/>
      </w:pPr>
      <w:r>
        <w:t>4. Objective &amp; Automated Methodology</w:t>
      </w:r>
    </w:p>
    <w:p w:rsidR="00317524" w:rsidRDefault="00317524" w:rsidP="00317524">
      <w:pPr>
        <w:pStyle w:val="NormalWeb"/>
      </w:pPr>
      <w:r>
        <w:t>The current proposal aims to:</w:t>
      </w:r>
    </w:p>
    <w:p w:rsidR="00317524" w:rsidRDefault="00317524" w:rsidP="0031752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Create a more objective and automated methodology </w:t>
      </w:r>
    </w:p>
    <w:p w:rsidR="00317524" w:rsidRDefault="00317524" w:rsidP="0031752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Refresh automatically on a quarterly or periodic basis </w:t>
      </w:r>
    </w:p>
    <w:p w:rsidR="00317524" w:rsidRDefault="00317524" w:rsidP="0031752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Remove repeated manual justification exercises </w:t>
      </w:r>
    </w:p>
    <w:p w:rsidR="00317524" w:rsidRDefault="00317524" w:rsidP="0031752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Provide a defendable baseline selection framework </w:t>
      </w:r>
    </w:p>
    <w:p w:rsidR="00317524" w:rsidRDefault="00317524" w:rsidP="00317524">
      <w:pPr>
        <w:pStyle w:val="NormalWeb"/>
      </w:pPr>
      <w:r>
        <w:t>Key design goals:</w:t>
      </w:r>
    </w:p>
    <w:p w:rsidR="00317524" w:rsidRDefault="00317524" w:rsidP="0031752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Automated threshold-based selection </w:t>
      </w:r>
    </w:p>
    <w:p w:rsidR="00317524" w:rsidRDefault="00317524" w:rsidP="0031752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Consistent methodology </w:t>
      </w:r>
    </w:p>
    <w:p w:rsidR="00317524" w:rsidRDefault="00317524" w:rsidP="0031752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Coverage of ~80% of IM </w:t>
      </w:r>
    </w:p>
    <w:p w:rsidR="00317524" w:rsidRDefault="00317524" w:rsidP="0031752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Reduction of ad hoc representative selections </w:t>
      </w:r>
    </w:p>
    <w:p w:rsidR="00317524" w:rsidRDefault="00317524" w:rsidP="00317524">
      <w:r>
        <w:pict>
          <v:rect id="_x0000_i1029" style="width:0;height:1.5pt" o:hralign="center" o:hrstd="t" o:hr="t" fillcolor="#a0a0a0" stroked="f"/>
        </w:pict>
      </w:r>
    </w:p>
    <w:p w:rsidR="00317524" w:rsidRDefault="00317524" w:rsidP="00317524">
      <w:pPr>
        <w:pStyle w:val="Heading2"/>
      </w:pPr>
      <w:r>
        <w:t>5. Agreement on Harmonisation Philosophy</w:t>
      </w:r>
    </w:p>
    <w:p w:rsidR="00317524" w:rsidRDefault="00317524" w:rsidP="00317524">
      <w:pPr>
        <w:pStyle w:val="NormalWeb"/>
      </w:pPr>
      <w:r>
        <w:t>Shelley acknowledged:</w:t>
      </w:r>
    </w:p>
    <w:p w:rsidR="00317524" w:rsidRDefault="00317524" w:rsidP="0031752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lastRenderedPageBreak/>
        <w:t xml:space="preserve">prior lack of awareness regarding the historical harmonisation efforts </w:t>
      </w:r>
    </w:p>
    <w:p w:rsidR="00317524" w:rsidRDefault="00317524" w:rsidP="0031752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that work had previously been progressed independently </w:t>
      </w:r>
    </w:p>
    <w:p w:rsidR="00317524" w:rsidRDefault="00317524" w:rsidP="00317524">
      <w:pPr>
        <w:pStyle w:val="NormalWeb"/>
      </w:pPr>
      <w:r>
        <w:t>General agreement was reached that:</w:t>
      </w:r>
    </w:p>
    <w:p w:rsidR="00317524" w:rsidRDefault="00317524" w:rsidP="0031752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teams should move toward a unified methodology </w:t>
      </w:r>
    </w:p>
    <w:p w:rsidR="00317524" w:rsidRDefault="00317524" w:rsidP="0031752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duplication and “reinventing the wheel” should be avoided </w:t>
      </w:r>
    </w:p>
    <w:p w:rsidR="00317524" w:rsidRDefault="00317524" w:rsidP="0031752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relevant stakeholders should be involved earlier in future work </w:t>
      </w:r>
    </w:p>
    <w:p w:rsidR="00317524" w:rsidRDefault="00317524" w:rsidP="00317524">
      <w:pPr>
        <w:pStyle w:val="NormalWeb"/>
      </w:pPr>
      <w:r>
        <w:t>Dale stressed:</w:t>
      </w:r>
    </w:p>
    <w:p w:rsidR="00317524" w:rsidRDefault="00317524" w:rsidP="0031752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existing solutions/work should always be reviewed before creating new approaches </w:t>
      </w:r>
    </w:p>
    <w:p w:rsidR="00317524" w:rsidRDefault="00317524" w:rsidP="0031752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collaboration between teams should occur earlier in project cycles </w:t>
      </w:r>
    </w:p>
    <w:p w:rsidR="00317524" w:rsidRDefault="00317524" w:rsidP="00317524">
      <w:r>
        <w:pict>
          <v:rect id="_x0000_i1030" style="width:0;height:1.5pt" o:hralign="center" o:hrstd="t" o:hr="t" fillcolor="#a0a0a0" stroked="f"/>
        </w:pict>
      </w:r>
    </w:p>
    <w:p w:rsidR="00317524" w:rsidRDefault="00317524" w:rsidP="00317524">
      <w:pPr>
        <w:pStyle w:val="Heading2"/>
      </w:pPr>
      <w:r>
        <w:t>6. Discussion on Reporting Platforms &amp; Tableau</w:t>
      </w:r>
    </w:p>
    <w:p w:rsidR="00317524" w:rsidRDefault="00317524" w:rsidP="00317524">
      <w:pPr>
        <w:pStyle w:val="NormalWeb"/>
      </w:pPr>
      <w:r>
        <w:t>Discussion covered:</w:t>
      </w:r>
    </w:p>
    <w:p w:rsidR="00317524" w:rsidRDefault="00317524" w:rsidP="0031752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Tableau vs newer GUI tooling </w:t>
      </w:r>
    </w:p>
    <w:p w:rsidR="00317524" w:rsidRDefault="00317524" w:rsidP="0031752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Need for both flexibility and controlled production reporting </w:t>
      </w:r>
    </w:p>
    <w:p w:rsidR="00317524" w:rsidRDefault="00317524" w:rsidP="00317524">
      <w:pPr>
        <w:pStyle w:val="NormalWeb"/>
      </w:pPr>
      <w:r>
        <w:t>Dale explained the distinction between:</w:t>
      </w:r>
    </w:p>
    <w:p w:rsidR="00317524" w:rsidRDefault="00317524" w:rsidP="00317524">
      <w:pPr>
        <w:pStyle w:val="Heading3"/>
      </w:pPr>
      <w:r>
        <w:t>Production Tableau Reports</w:t>
      </w:r>
    </w:p>
    <w:p w:rsidR="00317524" w:rsidRDefault="00317524" w:rsidP="0031752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Locked down </w:t>
      </w:r>
    </w:p>
    <w:p w:rsidR="00317524" w:rsidRDefault="00317524" w:rsidP="0031752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QA/UAT controlled </w:t>
      </w:r>
    </w:p>
    <w:p w:rsidR="00317524" w:rsidRDefault="00317524" w:rsidP="0031752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Migrated through formal governance </w:t>
      </w:r>
    </w:p>
    <w:p w:rsidR="00317524" w:rsidRDefault="00317524" w:rsidP="00317524">
      <w:pPr>
        <w:pStyle w:val="Heading3"/>
      </w:pPr>
      <w:r>
        <w:t>Non-Production Reports</w:t>
      </w:r>
    </w:p>
    <w:p w:rsidR="00317524" w:rsidRDefault="00317524" w:rsidP="0031752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Flexible </w:t>
      </w:r>
    </w:p>
    <w:p w:rsidR="00317524" w:rsidRDefault="00317524" w:rsidP="0031752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Quickly editable </w:t>
      </w:r>
    </w:p>
    <w:p w:rsidR="00317524" w:rsidRDefault="00317524" w:rsidP="0031752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Used for urgent fixes or exploratory work </w:t>
      </w:r>
    </w:p>
    <w:p w:rsidR="00317524" w:rsidRDefault="00317524" w:rsidP="00317524">
      <w:pPr>
        <w:pStyle w:val="NormalWeb"/>
      </w:pPr>
      <w:r>
        <w:t>Dan noted:</w:t>
      </w:r>
    </w:p>
    <w:p w:rsidR="00317524" w:rsidRDefault="00317524" w:rsidP="0031752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flexibility is still needed for edge cases and data corrections </w:t>
      </w:r>
    </w:p>
    <w:p w:rsidR="00317524" w:rsidRDefault="00317524" w:rsidP="0031752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some current issues stem from underlying source systems rather than Tableau itself </w:t>
      </w:r>
    </w:p>
    <w:p w:rsidR="00317524" w:rsidRDefault="00317524" w:rsidP="00317524">
      <w:pPr>
        <w:pStyle w:val="NormalWeb"/>
      </w:pPr>
      <w:r>
        <w:t>Consensus:</w:t>
      </w:r>
    </w:p>
    <w:p w:rsidR="00317524" w:rsidRDefault="00317524" w:rsidP="0031752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underlying data quality/governance is the primary issue </w:t>
      </w:r>
    </w:p>
    <w:p w:rsidR="00317524" w:rsidRDefault="00317524" w:rsidP="0031752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tooling choice is secondary once data is properly controlled </w:t>
      </w:r>
    </w:p>
    <w:p w:rsidR="00317524" w:rsidRDefault="00317524" w:rsidP="00317524">
      <w:r>
        <w:pict>
          <v:rect id="_x0000_i1031" style="width:0;height:1.5pt" o:hralign="center" o:hrstd="t" o:hr="t" fillcolor="#a0a0a0" stroked="f"/>
        </w:pict>
      </w:r>
    </w:p>
    <w:p w:rsidR="00317524" w:rsidRDefault="00317524" w:rsidP="00317524">
      <w:pPr>
        <w:pStyle w:val="Heading1"/>
      </w:pPr>
      <w:r>
        <w:lastRenderedPageBreak/>
        <w:t>Material Parameter Methodology Discussion</w:t>
      </w:r>
    </w:p>
    <w:p w:rsidR="00317524" w:rsidRDefault="00317524" w:rsidP="00317524">
      <w:pPr>
        <w:pStyle w:val="Heading2"/>
      </w:pPr>
      <w:r>
        <w:t>Existing vs Proposed Methodology</w:t>
      </w:r>
    </w:p>
    <w:p w:rsidR="00317524" w:rsidRDefault="00317524" w:rsidP="00317524">
      <w:pPr>
        <w:pStyle w:val="Heading3"/>
      </w:pPr>
      <w:r>
        <w:t>Existing (</w:t>
      </w:r>
      <w:proofErr w:type="spellStart"/>
      <w:r>
        <w:t>Sotirios</w:t>
      </w:r>
      <w:proofErr w:type="spellEnd"/>
      <w:r>
        <w:t xml:space="preserve"> / Previous Approach)</w:t>
      </w:r>
    </w:p>
    <w:p w:rsidR="00317524" w:rsidRDefault="00317524" w:rsidP="0031752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More subjective </w:t>
      </w:r>
    </w:p>
    <w:p w:rsidR="00317524" w:rsidRDefault="00317524" w:rsidP="0031752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Representative selections manually justified </w:t>
      </w:r>
    </w:p>
    <w:p w:rsidR="00317524" w:rsidRDefault="00317524" w:rsidP="0031752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Less scalable over time </w:t>
      </w:r>
    </w:p>
    <w:p w:rsidR="00317524" w:rsidRDefault="00317524" w:rsidP="00317524">
      <w:pPr>
        <w:pStyle w:val="Heading3"/>
      </w:pPr>
      <w:r>
        <w:t>Proposed Methodology</w:t>
      </w:r>
    </w:p>
    <w:p w:rsidR="00317524" w:rsidRDefault="00317524" w:rsidP="00317524">
      <w:pPr>
        <w:pStyle w:val="NormalWeb"/>
      </w:pPr>
      <w:proofErr w:type="gramStart"/>
      <w:r>
        <w:t>More systematic and automated.</w:t>
      </w:r>
      <w:proofErr w:type="gramEnd"/>
    </w:p>
    <w:p w:rsidR="00317524" w:rsidRDefault="00317524" w:rsidP="00317524">
      <w:r>
        <w:pict>
          <v:rect id="_x0000_i1032" style="width:0;height:1.5pt" o:hralign="center" o:hrstd="t" o:hr="t" fillcolor="#a0a0a0" stroked="f"/>
        </w:pict>
      </w:r>
    </w:p>
    <w:p w:rsidR="00317524" w:rsidRDefault="00317524" w:rsidP="00317524">
      <w:pPr>
        <w:pStyle w:val="Heading2"/>
      </w:pPr>
      <w:r>
        <w:t>Proposed Logic – Outright Parameters</w:t>
      </w:r>
    </w:p>
    <w:p w:rsidR="00317524" w:rsidRDefault="00317524" w:rsidP="00317524">
      <w:pPr>
        <w:pStyle w:val="Heading3"/>
      </w:pPr>
      <w:r>
        <w:t>PCC Level</w:t>
      </w:r>
    </w:p>
    <w:p w:rsidR="00317524" w:rsidRDefault="00317524" w:rsidP="0031752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IM apportioned to PCCs </w:t>
      </w:r>
    </w:p>
    <w:p w:rsidR="00317524" w:rsidRDefault="00317524" w:rsidP="0031752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Material PCCs selected if: </w:t>
      </w:r>
    </w:p>
    <w:p w:rsidR="00317524" w:rsidRDefault="00317524" w:rsidP="00317524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largest in asset class, or </w:t>
      </w:r>
    </w:p>
    <w:p w:rsidR="00317524" w:rsidRDefault="00317524" w:rsidP="00317524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contribute &gt;0.1% of OIM </w:t>
      </w:r>
    </w:p>
    <w:p w:rsidR="00317524" w:rsidRDefault="00317524" w:rsidP="00317524">
      <w:pPr>
        <w:pStyle w:val="NormalWeb"/>
      </w:pPr>
      <w:r>
        <w:t>Thresholds remain adjustable.</w:t>
      </w:r>
    </w:p>
    <w:p w:rsidR="00317524" w:rsidRDefault="00317524" w:rsidP="00317524">
      <w:r>
        <w:pict>
          <v:rect id="_x0000_i1033" style="width:0;height:1.5pt" o:hralign="center" o:hrstd="t" o:hr="t" fillcolor="#a0a0a0" stroked="f"/>
        </w:pict>
      </w:r>
    </w:p>
    <w:p w:rsidR="00317524" w:rsidRDefault="00317524" w:rsidP="00317524">
      <w:pPr>
        <w:pStyle w:val="Heading2"/>
      </w:pPr>
      <w:r>
        <w:t>Proposed Logic – Tenor Level</w:t>
      </w:r>
    </w:p>
    <w:p w:rsidR="00317524" w:rsidRDefault="00317524" w:rsidP="00317524">
      <w:pPr>
        <w:pStyle w:val="Heading3"/>
      </w:pPr>
      <w:r>
        <w:t>IM Allocation</w:t>
      </w:r>
    </w:p>
    <w:p w:rsidR="00317524" w:rsidRDefault="00317524" w:rsidP="00317524">
      <w:pPr>
        <w:pStyle w:val="NormalWeb"/>
      </w:pPr>
      <w:r>
        <w:t>Discussion on:</w:t>
      </w:r>
    </w:p>
    <w:p w:rsidR="00317524" w:rsidRDefault="00317524" w:rsidP="0031752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allocating IM using: </w:t>
      </w:r>
    </w:p>
    <w:p w:rsidR="00317524" w:rsidRDefault="00317524" w:rsidP="00317524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Open Interest (OI), or </w:t>
      </w:r>
    </w:p>
    <w:p w:rsidR="00317524" w:rsidRDefault="00317524" w:rsidP="00317524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Notional-based allocation </w:t>
      </w:r>
    </w:p>
    <w:p w:rsidR="00317524" w:rsidRDefault="00317524" w:rsidP="00317524">
      <w:pPr>
        <w:pStyle w:val="NormalWeb"/>
      </w:pPr>
      <w:r>
        <w:t>The proposed version currently uses notional-based allocation.</w:t>
      </w:r>
    </w:p>
    <w:p w:rsidR="00317524" w:rsidRDefault="00317524" w:rsidP="00317524">
      <w:pPr>
        <w:pStyle w:val="Heading3"/>
      </w:pPr>
      <w:r>
        <w:t>Material Tenor Selection</w:t>
      </w:r>
    </w:p>
    <w:p w:rsidR="00317524" w:rsidRDefault="00317524" w:rsidP="00317524">
      <w:pPr>
        <w:pStyle w:val="NormalWeb"/>
      </w:pPr>
      <w:r>
        <w:t>Process:</w:t>
      </w:r>
    </w:p>
    <w:p w:rsidR="00317524" w:rsidRDefault="00317524" w:rsidP="0031752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Rank all tenors by IM contribution </w:t>
      </w:r>
    </w:p>
    <w:p w:rsidR="00317524" w:rsidRDefault="00317524" w:rsidP="0031752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Select largest tenors cumulatively contributing to: </w:t>
      </w:r>
    </w:p>
    <w:p w:rsidR="00317524" w:rsidRDefault="00317524" w:rsidP="00317524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lastRenderedPageBreak/>
        <w:t xml:space="preserve">80% of total IM </w:t>
      </w:r>
    </w:p>
    <w:p w:rsidR="00317524" w:rsidRDefault="00317524" w:rsidP="00317524">
      <w:pPr>
        <w:pStyle w:val="NormalWeb"/>
      </w:pPr>
      <w:r>
        <w:t>This differs from prior approaches that focused on product-specific percentages.</w:t>
      </w:r>
    </w:p>
    <w:p w:rsidR="00317524" w:rsidRDefault="00317524" w:rsidP="00317524">
      <w:r>
        <w:pict>
          <v:rect id="_x0000_i1034" style="width:0;height:1.5pt" o:hralign="center" o:hrstd="t" o:hr="t" fillcolor="#a0a0a0" stroked="f"/>
        </w:pict>
      </w:r>
    </w:p>
    <w:p w:rsidR="00317524" w:rsidRDefault="00317524" w:rsidP="00317524">
      <w:pPr>
        <w:pStyle w:val="Heading2"/>
      </w:pPr>
      <w:r>
        <w:t>Inter-Month Spread Logic</w:t>
      </w:r>
    </w:p>
    <w:p w:rsidR="00317524" w:rsidRDefault="00317524" w:rsidP="00317524">
      <w:pPr>
        <w:pStyle w:val="NormalWeb"/>
      </w:pPr>
      <w:r>
        <w:t>Approach:</w:t>
      </w:r>
    </w:p>
    <w:p w:rsidR="00317524" w:rsidRDefault="00317524" w:rsidP="0031752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Generate inter-month combinations between selected material tenors </w:t>
      </w:r>
    </w:p>
    <w:p w:rsidR="00317524" w:rsidRDefault="00317524" w:rsidP="0031752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Apply tighter thresholding (~50–60%) to avoid combinatorial explosion </w:t>
      </w:r>
    </w:p>
    <w:p w:rsidR="00317524" w:rsidRDefault="00317524" w:rsidP="00317524">
      <w:pPr>
        <w:pStyle w:val="NormalWeb"/>
      </w:pPr>
      <w:r>
        <w:t>Counts discussed:</w:t>
      </w:r>
    </w:p>
    <w:p w:rsidR="00317524" w:rsidRDefault="00317524" w:rsidP="0031752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Previous methodology: ~177 parameters </w:t>
      </w:r>
    </w:p>
    <w:p w:rsidR="00317524" w:rsidRDefault="00317524" w:rsidP="0031752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Proposed methodology: ~227 parameters </w:t>
      </w:r>
    </w:p>
    <w:p w:rsidR="00317524" w:rsidRDefault="00317524" w:rsidP="00317524">
      <w:r>
        <w:pict>
          <v:rect id="_x0000_i1035" style="width:0;height:1.5pt" o:hralign="center" o:hrstd="t" o:hr="t" fillcolor="#a0a0a0" stroked="f"/>
        </w:pict>
      </w:r>
    </w:p>
    <w:p w:rsidR="00317524" w:rsidRDefault="00317524" w:rsidP="00317524">
      <w:pPr>
        <w:pStyle w:val="Heading2"/>
      </w:pPr>
      <w:r>
        <w:t>IRM2 &amp; Spread Risk Concerns</w:t>
      </w:r>
    </w:p>
    <w:p w:rsidR="00317524" w:rsidRDefault="00317524" w:rsidP="00317524">
      <w:pPr>
        <w:pStyle w:val="NormalWeb"/>
      </w:pPr>
      <w:proofErr w:type="spellStart"/>
      <w:r>
        <w:t>Mamun</w:t>
      </w:r>
      <w:proofErr w:type="spellEnd"/>
      <w:r>
        <w:t xml:space="preserve"> highlighted:</w:t>
      </w:r>
    </w:p>
    <w:p w:rsidR="00317524" w:rsidRDefault="00317524" w:rsidP="0031752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Need for clearer spread parameter definitions </w:t>
      </w:r>
    </w:p>
    <w:p w:rsidR="00317524" w:rsidRDefault="00317524" w:rsidP="0031752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Current methodology ambiguity affecting spread risk analysis </w:t>
      </w:r>
    </w:p>
    <w:p w:rsidR="00317524" w:rsidRDefault="00317524" w:rsidP="0031752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Particular urgency due to recent Iran-war-related spread movements </w:t>
      </w:r>
    </w:p>
    <w:p w:rsidR="00317524" w:rsidRDefault="00317524" w:rsidP="00317524">
      <w:pPr>
        <w:pStyle w:val="NormalWeb"/>
      </w:pPr>
      <w:r>
        <w:t>The proposed automated methodology was viewed positively as a potential resolution.</w:t>
      </w:r>
    </w:p>
    <w:p w:rsidR="00317524" w:rsidRDefault="00317524" w:rsidP="00317524">
      <w:r>
        <w:pict>
          <v:rect id="_x0000_i1036" style="width:0;height:1.5pt" o:hralign="center" o:hrstd="t" o:hr="t" fillcolor="#a0a0a0" stroked="f"/>
        </w:pict>
      </w:r>
    </w:p>
    <w:p w:rsidR="00317524" w:rsidRDefault="00317524" w:rsidP="00317524">
      <w:pPr>
        <w:pStyle w:val="Heading1"/>
      </w:pPr>
      <w:r>
        <w:t>Issues Identified</w:t>
      </w:r>
    </w:p>
    <w:p w:rsidR="00317524" w:rsidRDefault="00317524" w:rsidP="00317524">
      <w:pPr>
        <w:pStyle w:val="NormalWeb"/>
      </w:pPr>
      <w:r>
        <w:t xml:space="preserve">Examples </w:t>
      </w:r>
      <w:proofErr w:type="gramStart"/>
      <w:r>
        <w:t>raised</w:t>
      </w:r>
      <w:proofErr w:type="gramEnd"/>
      <w:r>
        <w:t>:</w:t>
      </w:r>
    </w:p>
    <w:p w:rsidR="00317524" w:rsidRDefault="00317524" w:rsidP="0031752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UK emissions contract (~774m IM) missing from current implementation </w:t>
      </w:r>
    </w:p>
    <w:p w:rsidR="00317524" w:rsidRDefault="00317524" w:rsidP="0031752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Potential implementation bugs in some parameter selections </w:t>
      </w:r>
    </w:p>
    <w:p w:rsidR="00317524" w:rsidRDefault="00317524" w:rsidP="0031752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Need for validation of generated outputs and lists </w:t>
      </w:r>
    </w:p>
    <w:p w:rsidR="00317524" w:rsidRDefault="00317524" w:rsidP="00317524">
      <w:r>
        <w:pict>
          <v:rect id="_x0000_i1037" style="width:0;height:1.5pt" o:hralign="center" o:hrstd="t" o:hr="t" fillcolor="#a0a0a0" stroked="f"/>
        </w:pict>
      </w:r>
    </w:p>
    <w:p w:rsidR="00317524" w:rsidRDefault="00317524" w:rsidP="00317524">
      <w:pPr>
        <w:pStyle w:val="Heading1"/>
      </w:pPr>
      <w:r>
        <w:t>Agreed Next Steps</w:t>
      </w:r>
    </w:p>
    <w:p w:rsidR="00317524" w:rsidRDefault="00317524" w:rsidP="00317524">
      <w:pPr>
        <w:pStyle w:val="Heading2"/>
      </w:pPr>
      <w:r>
        <w:t>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7"/>
        <w:gridCol w:w="2454"/>
      </w:tblGrid>
      <w:tr w:rsidR="00317524" w:rsidTr="003175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524" w:rsidRDefault="0031752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317524" w:rsidRDefault="0031752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Owner</w:t>
            </w:r>
          </w:p>
        </w:tc>
      </w:tr>
      <w:tr w:rsidR="00317524" w:rsidTr="003175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524" w:rsidRDefault="00317524">
            <w:pPr>
              <w:rPr>
                <w:sz w:val="24"/>
                <w:szCs w:val="24"/>
              </w:rPr>
            </w:pPr>
            <w:r>
              <w:lastRenderedPageBreak/>
              <w:t>Circulate methodology comparison spreadsheet and parameter lists</w:t>
            </w:r>
          </w:p>
        </w:tc>
        <w:tc>
          <w:tcPr>
            <w:tcW w:w="0" w:type="auto"/>
            <w:vAlign w:val="center"/>
            <w:hideMark/>
          </w:tcPr>
          <w:p w:rsidR="00317524" w:rsidRDefault="00317524">
            <w:pPr>
              <w:rPr>
                <w:sz w:val="24"/>
                <w:szCs w:val="24"/>
              </w:rPr>
            </w:pPr>
            <w:r>
              <w:t>ROD / Team</w:t>
            </w:r>
          </w:p>
        </w:tc>
      </w:tr>
      <w:tr w:rsidR="00317524" w:rsidTr="003175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524" w:rsidRDefault="00317524">
            <w:pPr>
              <w:rPr>
                <w:sz w:val="24"/>
                <w:szCs w:val="24"/>
              </w:rPr>
            </w:pPr>
            <w:r>
              <w:t>Review generated material parameter outputs</w:t>
            </w:r>
          </w:p>
        </w:tc>
        <w:tc>
          <w:tcPr>
            <w:tcW w:w="0" w:type="auto"/>
            <w:vAlign w:val="center"/>
            <w:hideMark/>
          </w:tcPr>
          <w:p w:rsidR="00317524" w:rsidRDefault="00317524">
            <w:pPr>
              <w:rPr>
                <w:sz w:val="24"/>
                <w:szCs w:val="24"/>
              </w:rPr>
            </w:pPr>
            <w:proofErr w:type="spellStart"/>
            <w:r>
              <w:t>Mamun</w:t>
            </w:r>
            <w:proofErr w:type="spellEnd"/>
            <w:r>
              <w:t xml:space="preserve"> / Shelley / Teams</w:t>
            </w:r>
          </w:p>
        </w:tc>
      </w:tr>
      <w:tr w:rsidR="00317524" w:rsidTr="003175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524" w:rsidRDefault="00317524">
            <w:pPr>
              <w:rPr>
                <w:sz w:val="24"/>
                <w:szCs w:val="24"/>
              </w:rPr>
            </w:pPr>
            <w:r>
              <w:t>Validate missing parameter examples and implementation bugs</w:t>
            </w:r>
          </w:p>
        </w:tc>
        <w:tc>
          <w:tcPr>
            <w:tcW w:w="0" w:type="auto"/>
            <w:vAlign w:val="center"/>
            <w:hideMark/>
          </w:tcPr>
          <w:p w:rsidR="00317524" w:rsidRDefault="00317524">
            <w:pPr>
              <w:rPr>
                <w:sz w:val="24"/>
                <w:szCs w:val="24"/>
              </w:rPr>
            </w:pPr>
            <w:r>
              <w:t>Wei / Team</w:t>
            </w:r>
          </w:p>
        </w:tc>
      </w:tr>
      <w:tr w:rsidR="00317524" w:rsidTr="003175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524" w:rsidRDefault="00317524">
            <w:pPr>
              <w:rPr>
                <w:sz w:val="24"/>
                <w:szCs w:val="24"/>
              </w:rPr>
            </w:pPr>
            <w:r>
              <w:t>Continue discussions on threshold calibration (0.1%, 80%, etc.)</w:t>
            </w:r>
          </w:p>
        </w:tc>
        <w:tc>
          <w:tcPr>
            <w:tcW w:w="0" w:type="auto"/>
            <w:vAlign w:val="center"/>
            <w:hideMark/>
          </w:tcPr>
          <w:p w:rsidR="00317524" w:rsidRDefault="00317524">
            <w:pPr>
              <w:rPr>
                <w:sz w:val="24"/>
                <w:szCs w:val="24"/>
              </w:rPr>
            </w:pPr>
            <w:r>
              <w:t>All</w:t>
            </w:r>
          </w:p>
        </w:tc>
      </w:tr>
      <w:tr w:rsidR="00317524" w:rsidTr="003175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524" w:rsidRDefault="00317524">
            <w:pPr>
              <w:rPr>
                <w:sz w:val="24"/>
                <w:szCs w:val="24"/>
              </w:rPr>
            </w:pPr>
            <w:r>
              <w:t>Align IRM2 implementation with agreed harmonised methodology</w:t>
            </w:r>
          </w:p>
        </w:tc>
        <w:tc>
          <w:tcPr>
            <w:tcW w:w="0" w:type="auto"/>
            <w:vAlign w:val="center"/>
            <w:hideMark/>
          </w:tcPr>
          <w:p w:rsidR="00317524" w:rsidRDefault="00317524">
            <w:pPr>
              <w:rPr>
                <w:sz w:val="24"/>
                <w:szCs w:val="24"/>
              </w:rPr>
            </w:pPr>
            <w:r>
              <w:t>Relevant teams</w:t>
            </w:r>
          </w:p>
        </w:tc>
      </w:tr>
      <w:tr w:rsidR="00317524" w:rsidTr="003175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524" w:rsidRDefault="00317524">
            <w:pPr>
              <w:rPr>
                <w:sz w:val="24"/>
                <w:szCs w:val="24"/>
              </w:rPr>
            </w:pPr>
            <w:r>
              <w:t>Engage ROD/CRD earlier in future monitoring/report development</w:t>
            </w:r>
          </w:p>
        </w:tc>
        <w:tc>
          <w:tcPr>
            <w:tcW w:w="0" w:type="auto"/>
            <w:vAlign w:val="center"/>
            <w:hideMark/>
          </w:tcPr>
          <w:p w:rsidR="00317524" w:rsidRDefault="00317524">
            <w:pPr>
              <w:rPr>
                <w:sz w:val="24"/>
                <w:szCs w:val="24"/>
              </w:rPr>
            </w:pPr>
            <w:r>
              <w:t>All teams</w:t>
            </w:r>
          </w:p>
        </w:tc>
      </w:tr>
      <w:tr w:rsidR="00317524" w:rsidTr="003175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524" w:rsidRDefault="00317524">
            <w:pPr>
              <w:rPr>
                <w:sz w:val="24"/>
                <w:szCs w:val="24"/>
              </w:rPr>
            </w:pPr>
            <w:r>
              <w:t>Continue evaluating Tableau vs future GUI solutions</w:t>
            </w:r>
          </w:p>
        </w:tc>
        <w:tc>
          <w:tcPr>
            <w:tcW w:w="0" w:type="auto"/>
            <w:vAlign w:val="center"/>
            <w:hideMark/>
          </w:tcPr>
          <w:p w:rsidR="00317524" w:rsidRDefault="00317524">
            <w:pPr>
              <w:rPr>
                <w:sz w:val="24"/>
                <w:szCs w:val="24"/>
              </w:rPr>
            </w:pPr>
            <w:r>
              <w:t>Management / Tech teams</w:t>
            </w:r>
          </w:p>
        </w:tc>
      </w:tr>
    </w:tbl>
    <w:p w:rsidR="00317524" w:rsidRDefault="00317524" w:rsidP="00317524">
      <w:r>
        <w:pict>
          <v:rect id="_x0000_i1038" style="width:0;height:1.5pt" o:hralign="center" o:hrstd="t" o:hr="t" fillcolor="#a0a0a0" stroked="f"/>
        </w:pict>
      </w:r>
    </w:p>
    <w:p w:rsidR="00317524" w:rsidRDefault="00317524" w:rsidP="00317524">
      <w:pPr>
        <w:pStyle w:val="Heading1"/>
      </w:pPr>
      <w:r>
        <w:t>Overall Outcome</w:t>
      </w:r>
    </w:p>
    <w:p w:rsidR="00317524" w:rsidRDefault="00317524" w:rsidP="00317524">
      <w:pPr>
        <w:pStyle w:val="NormalWeb"/>
      </w:pPr>
      <w:r>
        <w:t>Broad agreement was reached on:</w:t>
      </w:r>
    </w:p>
    <w:p w:rsidR="00317524" w:rsidRDefault="00317524" w:rsidP="0031752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the importance of harmonisation </w:t>
      </w:r>
    </w:p>
    <w:p w:rsidR="00317524" w:rsidRDefault="00317524" w:rsidP="0031752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reducing duplication </w:t>
      </w:r>
    </w:p>
    <w:p w:rsidR="00317524" w:rsidRDefault="00317524" w:rsidP="0031752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moving toward a single automated methodology </w:t>
      </w:r>
    </w:p>
    <w:p w:rsidR="00317524" w:rsidRDefault="00317524" w:rsidP="0031752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maintaining controlled and auditable reporting processes </w:t>
      </w:r>
    </w:p>
    <w:p w:rsidR="00317524" w:rsidRDefault="00317524" w:rsidP="00317524">
      <w:pPr>
        <w:pStyle w:val="NormalWeb"/>
      </w:pPr>
      <w:r>
        <w:t>Further technical review is required before finalising implementation details and thresholds.</w:t>
      </w:r>
      <w:bookmarkStart w:id="0" w:name="_GoBack"/>
      <w:bookmarkEnd w:id="0"/>
    </w:p>
    <w:p w:rsidR="00317524" w:rsidRPr="00317524" w:rsidRDefault="00317524" w:rsidP="00317524"/>
    <w:sectPr w:rsidR="00317524" w:rsidRPr="0031752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4B21" w:rsidRDefault="00AF4B21">
      <w:pPr>
        <w:spacing w:line="240" w:lineRule="auto"/>
      </w:pPr>
      <w:r>
        <w:separator/>
      </w:r>
    </w:p>
  </w:endnote>
  <w:endnote w:type="continuationSeparator" w:id="0">
    <w:p w:rsidR="00AF4B21" w:rsidRDefault="00AF4B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68DF" w:rsidRDefault="002A68DF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68DF" w:rsidRDefault="002A68D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4B21" w:rsidRDefault="00AF4B21">
      <w:pPr>
        <w:spacing w:line="240" w:lineRule="auto"/>
      </w:pPr>
      <w:r>
        <w:separator/>
      </w:r>
    </w:p>
  </w:footnote>
  <w:footnote w:type="continuationSeparator" w:id="0">
    <w:p w:rsidR="00AF4B21" w:rsidRDefault="00AF4B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68DF" w:rsidRDefault="002A68D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68DF" w:rsidRDefault="002A68D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D7ADA"/>
    <w:multiLevelType w:val="multilevel"/>
    <w:tmpl w:val="7F18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963088"/>
    <w:multiLevelType w:val="multilevel"/>
    <w:tmpl w:val="0A34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34087A"/>
    <w:multiLevelType w:val="multilevel"/>
    <w:tmpl w:val="BD0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903D11"/>
    <w:multiLevelType w:val="multilevel"/>
    <w:tmpl w:val="D480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D5481F"/>
    <w:multiLevelType w:val="multilevel"/>
    <w:tmpl w:val="2002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4659BC"/>
    <w:multiLevelType w:val="multilevel"/>
    <w:tmpl w:val="8D08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B20D8D"/>
    <w:multiLevelType w:val="multilevel"/>
    <w:tmpl w:val="2D02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B43CE3"/>
    <w:multiLevelType w:val="multilevel"/>
    <w:tmpl w:val="FC5C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5145A7"/>
    <w:multiLevelType w:val="multilevel"/>
    <w:tmpl w:val="9352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E713A6"/>
    <w:multiLevelType w:val="multilevel"/>
    <w:tmpl w:val="FA04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AC65B1"/>
    <w:multiLevelType w:val="multilevel"/>
    <w:tmpl w:val="E7EE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A24725"/>
    <w:multiLevelType w:val="multilevel"/>
    <w:tmpl w:val="4B66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5D34DC"/>
    <w:multiLevelType w:val="multilevel"/>
    <w:tmpl w:val="52B8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4C30C5"/>
    <w:multiLevelType w:val="multilevel"/>
    <w:tmpl w:val="5F82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B9480B"/>
    <w:multiLevelType w:val="multilevel"/>
    <w:tmpl w:val="16AA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F43EEC"/>
    <w:multiLevelType w:val="multilevel"/>
    <w:tmpl w:val="5C8E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4C5474"/>
    <w:multiLevelType w:val="multilevel"/>
    <w:tmpl w:val="6A52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362DAD"/>
    <w:multiLevelType w:val="multilevel"/>
    <w:tmpl w:val="29AE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22D23ED"/>
    <w:multiLevelType w:val="multilevel"/>
    <w:tmpl w:val="E6E4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6D25A28"/>
    <w:multiLevelType w:val="multilevel"/>
    <w:tmpl w:val="E196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98D0A72"/>
    <w:multiLevelType w:val="multilevel"/>
    <w:tmpl w:val="DB50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8706B5"/>
    <w:multiLevelType w:val="multilevel"/>
    <w:tmpl w:val="E0D83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EA90F3F"/>
    <w:multiLevelType w:val="multilevel"/>
    <w:tmpl w:val="0E64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C81BE5"/>
    <w:multiLevelType w:val="multilevel"/>
    <w:tmpl w:val="B70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FC7F06"/>
    <w:multiLevelType w:val="multilevel"/>
    <w:tmpl w:val="9878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341AFC"/>
    <w:multiLevelType w:val="multilevel"/>
    <w:tmpl w:val="DD52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8"/>
  </w:num>
  <w:num w:numId="4">
    <w:abstractNumId w:val="6"/>
  </w:num>
  <w:num w:numId="5">
    <w:abstractNumId w:val="10"/>
  </w:num>
  <w:num w:numId="6">
    <w:abstractNumId w:val="4"/>
  </w:num>
  <w:num w:numId="7">
    <w:abstractNumId w:val="24"/>
  </w:num>
  <w:num w:numId="8">
    <w:abstractNumId w:val="0"/>
  </w:num>
  <w:num w:numId="9">
    <w:abstractNumId w:val="5"/>
  </w:num>
  <w:num w:numId="10">
    <w:abstractNumId w:val="1"/>
  </w:num>
  <w:num w:numId="11">
    <w:abstractNumId w:val="17"/>
  </w:num>
  <w:num w:numId="12">
    <w:abstractNumId w:val="14"/>
  </w:num>
  <w:num w:numId="13">
    <w:abstractNumId w:val="25"/>
  </w:num>
  <w:num w:numId="14">
    <w:abstractNumId w:val="16"/>
  </w:num>
  <w:num w:numId="15">
    <w:abstractNumId w:val="20"/>
  </w:num>
  <w:num w:numId="16">
    <w:abstractNumId w:val="9"/>
  </w:num>
  <w:num w:numId="17">
    <w:abstractNumId w:val="15"/>
  </w:num>
  <w:num w:numId="18">
    <w:abstractNumId w:val="23"/>
  </w:num>
  <w:num w:numId="19">
    <w:abstractNumId w:val="12"/>
  </w:num>
  <w:num w:numId="20">
    <w:abstractNumId w:val="2"/>
  </w:num>
  <w:num w:numId="21">
    <w:abstractNumId w:val="21"/>
  </w:num>
  <w:num w:numId="22">
    <w:abstractNumId w:val="18"/>
  </w:num>
  <w:num w:numId="23">
    <w:abstractNumId w:val="22"/>
  </w:num>
  <w:num w:numId="24">
    <w:abstractNumId w:val="11"/>
  </w:num>
  <w:num w:numId="25">
    <w:abstractNumId w:val="3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A68DF"/>
    <w:rsid w:val="002A68DF"/>
    <w:rsid w:val="00317524"/>
    <w:rsid w:val="00AF4B21"/>
    <w:rsid w:val="00FD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333333"/>
        <w:lang w:val="en-GB" w:eastAsia="en-GB" w:bidi="ar-SA"/>
      </w:rPr>
    </w:rPrDefault>
    <w:pPrDefault>
      <w:pPr>
        <w:spacing w:line="32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after="120"/>
      <w:contextualSpacing/>
      <w:outlineLvl w:val="0"/>
    </w:pPr>
    <w:rPr>
      <w:rFonts w:ascii="Palatino" w:eastAsia="Palatino" w:hAnsi="Palatino" w:cs="Palatino"/>
      <w:sz w:val="36"/>
    </w:rPr>
  </w:style>
  <w:style w:type="paragraph" w:styleId="Heading2">
    <w:name w:val="heading 2"/>
    <w:basedOn w:val="Normal"/>
    <w:next w:val="Normal"/>
    <w:pPr>
      <w:spacing w:before="120" w:after="160"/>
      <w:contextualSpacing/>
      <w:outlineLvl w:val="1"/>
    </w:pPr>
    <w:rPr>
      <w:b/>
      <w:sz w:val="26"/>
    </w:rPr>
  </w:style>
  <w:style w:type="paragraph" w:styleId="Heading3">
    <w:name w:val="heading 3"/>
    <w:basedOn w:val="Normal"/>
    <w:next w:val="Normal"/>
    <w:pPr>
      <w:spacing w:before="120" w:after="160"/>
      <w:contextualSpacing/>
      <w:outlineLvl w:val="2"/>
    </w:pPr>
    <w:rPr>
      <w:b/>
      <w:i/>
      <w:color w:val="666666"/>
      <w:sz w:val="24"/>
    </w:rPr>
  </w:style>
  <w:style w:type="paragraph" w:styleId="Heading4">
    <w:name w:val="heading 4"/>
    <w:basedOn w:val="Normal"/>
    <w:next w:val="Normal"/>
    <w:pPr>
      <w:spacing w:before="120" w:after="120"/>
      <w:contextualSpacing/>
      <w:outlineLvl w:val="3"/>
    </w:pPr>
    <w:rPr>
      <w:rFonts w:ascii="Palatino" w:eastAsia="Palatino" w:hAnsi="Palatino" w:cs="Palatino"/>
      <w:b/>
      <w:sz w:val="24"/>
    </w:rPr>
  </w:style>
  <w:style w:type="paragraph" w:styleId="Heading5">
    <w:name w:val="heading 5"/>
    <w:basedOn w:val="Normal"/>
    <w:next w:val="Normal"/>
    <w:pPr>
      <w:spacing w:before="120" w:after="120"/>
      <w:contextualSpacing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spacing w:before="120" w:after="120"/>
      <w:contextualSpacing/>
      <w:outlineLvl w:val="5"/>
    </w:pPr>
    <w:rPr>
      <w:i/>
      <w:color w:val="666666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contextualSpacing/>
    </w:pPr>
    <w:rPr>
      <w:rFonts w:ascii="Palatino" w:eastAsia="Palatino" w:hAnsi="Palatino" w:cs="Palatino"/>
      <w:sz w:val="60"/>
    </w:rPr>
  </w:style>
  <w:style w:type="paragraph" w:styleId="Subtitle">
    <w:name w:val="Subtitle"/>
    <w:basedOn w:val="Normal"/>
    <w:next w:val="Normal"/>
    <w:pPr>
      <w:spacing w:before="60"/>
      <w:contextualSpacing/>
    </w:pPr>
    <w:rPr>
      <w:sz w:val="28"/>
    </w:rPr>
  </w:style>
  <w:style w:type="paragraph" w:customStyle="1" w:styleId="defaultspeaker">
    <w:name w:val="default_speaker"/>
    <w:basedOn w:val="Normal"/>
    <w:next w:val="Normal"/>
    <w:pPr>
      <w:contextualSpacing/>
    </w:pPr>
    <w:rPr>
      <w:sz w:val="22"/>
    </w:rPr>
  </w:style>
  <w:style w:type="paragraph" w:customStyle="1" w:styleId="defaultparagraph">
    <w:name w:val="default_paragraph"/>
    <w:basedOn w:val="Normal"/>
    <w:next w:val="Normal"/>
    <w:pPr>
      <w:contextualSpacing/>
      <w:jc w:val="both"/>
    </w:pPr>
    <w:rPr>
      <w:sz w:val="22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17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31752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333333"/>
        <w:lang w:val="en-GB" w:eastAsia="en-GB" w:bidi="ar-SA"/>
      </w:rPr>
    </w:rPrDefault>
    <w:pPrDefault>
      <w:pPr>
        <w:spacing w:line="32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after="120"/>
      <w:contextualSpacing/>
      <w:outlineLvl w:val="0"/>
    </w:pPr>
    <w:rPr>
      <w:rFonts w:ascii="Palatino" w:eastAsia="Palatino" w:hAnsi="Palatino" w:cs="Palatino"/>
      <w:sz w:val="36"/>
    </w:rPr>
  </w:style>
  <w:style w:type="paragraph" w:styleId="Heading2">
    <w:name w:val="heading 2"/>
    <w:basedOn w:val="Normal"/>
    <w:next w:val="Normal"/>
    <w:pPr>
      <w:spacing w:before="120" w:after="160"/>
      <w:contextualSpacing/>
      <w:outlineLvl w:val="1"/>
    </w:pPr>
    <w:rPr>
      <w:b/>
      <w:sz w:val="26"/>
    </w:rPr>
  </w:style>
  <w:style w:type="paragraph" w:styleId="Heading3">
    <w:name w:val="heading 3"/>
    <w:basedOn w:val="Normal"/>
    <w:next w:val="Normal"/>
    <w:pPr>
      <w:spacing w:before="120" w:after="160"/>
      <w:contextualSpacing/>
      <w:outlineLvl w:val="2"/>
    </w:pPr>
    <w:rPr>
      <w:b/>
      <w:i/>
      <w:color w:val="666666"/>
      <w:sz w:val="24"/>
    </w:rPr>
  </w:style>
  <w:style w:type="paragraph" w:styleId="Heading4">
    <w:name w:val="heading 4"/>
    <w:basedOn w:val="Normal"/>
    <w:next w:val="Normal"/>
    <w:pPr>
      <w:spacing w:before="120" w:after="120"/>
      <w:contextualSpacing/>
      <w:outlineLvl w:val="3"/>
    </w:pPr>
    <w:rPr>
      <w:rFonts w:ascii="Palatino" w:eastAsia="Palatino" w:hAnsi="Palatino" w:cs="Palatino"/>
      <w:b/>
      <w:sz w:val="24"/>
    </w:rPr>
  </w:style>
  <w:style w:type="paragraph" w:styleId="Heading5">
    <w:name w:val="heading 5"/>
    <w:basedOn w:val="Normal"/>
    <w:next w:val="Normal"/>
    <w:pPr>
      <w:spacing w:before="120" w:after="120"/>
      <w:contextualSpacing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spacing w:before="120" w:after="120"/>
      <w:contextualSpacing/>
      <w:outlineLvl w:val="5"/>
    </w:pPr>
    <w:rPr>
      <w:i/>
      <w:color w:val="666666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contextualSpacing/>
    </w:pPr>
    <w:rPr>
      <w:rFonts w:ascii="Palatino" w:eastAsia="Palatino" w:hAnsi="Palatino" w:cs="Palatino"/>
      <w:sz w:val="60"/>
    </w:rPr>
  </w:style>
  <w:style w:type="paragraph" w:styleId="Subtitle">
    <w:name w:val="Subtitle"/>
    <w:basedOn w:val="Normal"/>
    <w:next w:val="Normal"/>
    <w:pPr>
      <w:spacing w:before="60"/>
      <w:contextualSpacing/>
    </w:pPr>
    <w:rPr>
      <w:sz w:val="28"/>
    </w:rPr>
  </w:style>
  <w:style w:type="paragraph" w:customStyle="1" w:styleId="defaultspeaker">
    <w:name w:val="default_speaker"/>
    <w:basedOn w:val="Normal"/>
    <w:next w:val="Normal"/>
    <w:pPr>
      <w:contextualSpacing/>
    </w:pPr>
    <w:rPr>
      <w:sz w:val="22"/>
    </w:rPr>
  </w:style>
  <w:style w:type="paragraph" w:customStyle="1" w:styleId="defaultparagraph">
    <w:name w:val="default_paragraph"/>
    <w:basedOn w:val="Normal"/>
    <w:next w:val="Normal"/>
    <w:pPr>
      <w:contextualSpacing/>
      <w:jc w:val="both"/>
    </w:pPr>
    <w:rPr>
      <w:sz w:val="22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17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3175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1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921</Words>
  <Characters>5255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MaterialParamsDale.m4a</vt:lpstr>
    </vt:vector>
  </TitlesOfParts>
  <Company/>
  <LinksUpToDate>false</LinksUpToDate>
  <CharactersWithSpaces>6164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MaterialParamsDale.m4a</dc:title>
  <dc:creator>thomas jaeger</dc:creator>
  <cp:lastModifiedBy>thomas jaeger</cp:lastModifiedBy>
  <cp:revision>2</cp:revision>
  <dcterms:created xsi:type="dcterms:W3CDTF">2026-05-20T22:33:00Z</dcterms:created>
  <dcterms:modified xsi:type="dcterms:W3CDTF">2026-05-20T22:33:00Z</dcterms:modified>
</cp:coreProperties>
</file>