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Arial" w:hAnsi="Arial"/>
          <w:b/>
          <w:color w:val="0B2545"/>
          <w:sz w:val="36"/>
        </w:rPr>
        <w:t>Kona Biopsy Age Ranking Models: Comparison Brief</w:t>
      </w:r>
    </w:p>
    <w:p>
      <w:pPr>
        <w:spacing w:after="120"/>
      </w:pPr>
      <w:r>
        <w:rPr>
          <w:rFonts w:ascii="Arial" w:hAnsi="Arial"/>
          <w:color w:val="555555"/>
          <w:sz w:val="17"/>
        </w:rPr>
        <w:t xml:space="preserve">Prepared from attached Models 1-3 workbooks | 2026-05-30 00:14 </w:t>
      </w:r>
    </w:p>
    <w:p>
      <w:pPr>
        <w:spacing w:before="140" w:after="60"/>
      </w:pPr>
      <w:r>
        <w:rPr>
          <w:rFonts w:ascii="Arial" w:hAnsi="Arial"/>
          <w:b/>
          <w:color w:val="1F4E79"/>
          <w:sz w:val="24"/>
        </w:rPr>
        <w:t>Bottom Line</w:t>
      </w:r>
    </w:p>
    <w:p>
      <w:pPr>
        <w:spacing w:after="80" w:line="259" w:lineRule="auto"/>
      </w:pPr>
      <w:r>
        <w:rPr>
          <w:rFonts w:ascii="Arial" w:hAnsi="Arial"/>
          <w:sz w:val="18"/>
        </w:rPr>
        <w:t>The age-ranking system is a pairwise evidence model, not an absolute age estimate. A sample ranks older when there is dated evidence that its manta was mature before another sampled manta was documented as immature. Tied ranks are expected when the evidence cannot distinguish samples.</w:t>
      </w:r>
    </w:p>
    <w:p>
      <w:pPr>
        <w:spacing w:after="80" w:line="259" w:lineRule="auto"/>
      </w:pPr>
      <w:r>
        <w:rPr>
          <w:rFonts w:ascii="Arial" w:hAnsi="Arial"/>
          <w:sz w:val="18"/>
        </w:rPr>
        <w:t>The major shift occurred from Model 1 to Model 2: 11 samples moved older/higher, 71 moved younger/lower, and 1 retained the same rank. Model 3 did not change any ranks or scores relative to Model 2 because Model 2 was already treating pup labels as immature; Model 3 made the pup-as-birth-year assumption explicit and added audit columns.</w:t>
      </w:r>
    </w:p>
    <w:p>
      <w:pPr>
        <w:spacing w:before="140" w:after="60"/>
      </w:pPr>
      <w:r>
        <w:rPr>
          <w:rFonts w:ascii="Arial" w:hAnsi="Arial"/>
          <w:b/>
          <w:color w:val="1F4E79"/>
          <w:sz w:val="24"/>
        </w:rPr>
        <w:t>What Each Model Includes</w:t>
      </w:r>
    </w:p>
    <w:p>
      <w:pPr>
        <w:spacing w:after="80" w:line="259" w:lineRule="auto"/>
      </w:pPr>
      <w:r>
        <w:rPr>
          <w:rFonts w:ascii="Arial" w:hAnsi="Arial"/>
          <w:sz w:val="18"/>
        </w:rPr>
        <w:t>Each model keeps the same 83 biopsy samples. The difference is not the sample set; it is which dated maturity/immaturity evidence is allowed to create pairwise older-than comparisons. The models are nested: Model 2 includes everything in Model 1, and Model 3 includes everything in Model 2.</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080"/>
            <w:vAlign w:val="center"/>
            <w:shd w:fill="1F4E79"/>
          </w:tcPr>
          <w:p>
            <w:pPr>
              <w:spacing w:after="0"/>
            </w:pPr>
            <w:r/>
            <w:r>
              <w:rPr>
                <w:rFonts w:ascii="Arial" w:hAnsi="Arial"/>
                <w:b/>
                <w:color w:val="FFFFFF"/>
                <w:sz w:val="16"/>
              </w:rPr>
              <w:t>Model</w:t>
            </w:r>
          </w:p>
        </w:tc>
        <w:tc>
          <w:tcPr>
            <w:tcW w:type="dxa" w:w="3384"/>
            <w:vAlign w:val="center"/>
            <w:shd w:fill="1F4E79"/>
          </w:tcPr>
          <w:p>
            <w:pPr>
              <w:spacing w:after="0"/>
            </w:pPr>
            <w:r/>
            <w:r>
              <w:rPr>
                <w:rFonts w:ascii="Arial" w:hAnsi="Arial"/>
                <w:b/>
                <w:color w:val="FFFFFF"/>
                <w:sz w:val="16"/>
              </w:rPr>
              <w:t>Explicitly includes</w:t>
            </w:r>
          </w:p>
        </w:tc>
        <w:tc>
          <w:tcPr>
            <w:tcW w:type="dxa" w:w="2232"/>
            <w:vAlign w:val="center"/>
            <w:shd w:fill="1F4E79"/>
          </w:tcPr>
          <w:p>
            <w:pPr>
              <w:spacing w:after="0"/>
            </w:pPr>
            <w:r/>
            <w:r>
              <w:rPr>
                <w:rFonts w:ascii="Arial" w:hAnsi="Arial"/>
                <w:b/>
                <w:color w:val="FFFFFF"/>
                <w:sz w:val="16"/>
              </w:rPr>
              <w:t>New vs prior</w:t>
            </w:r>
          </w:p>
        </w:tc>
        <w:tc>
          <w:tcPr>
            <w:tcW w:type="dxa" w:w="3096"/>
            <w:vAlign w:val="center"/>
            <w:shd w:fill="1F4E79"/>
          </w:tcPr>
          <w:p>
            <w:pPr>
              <w:spacing w:after="0"/>
            </w:pPr>
            <w:r/>
            <w:r>
              <w:rPr>
                <w:rFonts w:ascii="Arial" w:hAnsi="Arial"/>
                <w:b/>
                <w:color w:val="FFFFFF"/>
                <w:sz w:val="16"/>
              </w:rPr>
              <w:t>Still excludes / caveat</w:t>
            </w:r>
          </w:p>
        </w:tc>
      </w:tr>
      <w:tr>
        <w:tc>
          <w:tcPr>
            <w:tcW w:type="dxa" w:w="1080"/>
            <w:vAlign w:val="center"/>
          </w:tcPr>
          <w:p>
            <w:pPr>
              <w:spacing w:after="0"/>
            </w:pPr>
            <w:r/>
            <w:r>
              <w:rPr>
                <w:rFonts w:ascii="Arial" w:hAnsi="Arial"/>
                <w:b w:val="0"/>
                <w:color w:val="000000"/>
                <w:sz w:val="16"/>
              </w:rPr>
              <w:t>Model 1</w:t>
            </w:r>
          </w:p>
        </w:tc>
        <w:tc>
          <w:tcPr>
            <w:tcW w:type="dxa" w:w="3384"/>
            <w:vAlign w:val="center"/>
          </w:tcPr>
          <w:p>
            <w:pPr>
              <w:spacing w:after="0"/>
            </w:pPr>
            <w:r/>
            <w:r>
              <w:rPr>
                <w:rFonts w:ascii="Arial" w:hAnsi="Arial"/>
                <w:b w:val="0"/>
                <w:color w:val="000000"/>
                <w:sz w:val="16"/>
              </w:rPr>
              <w:t>HAMER biopsy-linked age class, which may already include size-based maturity/immaturity decisions, plus MPRF &gt;15-year resight history counted as mature at first sighting +15 years.</w:t>
            </w:r>
          </w:p>
        </w:tc>
        <w:tc>
          <w:tcPr>
            <w:tcW w:type="dxa" w:w="2232"/>
            <w:vAlign w:val="center"/>
          </w:tcPr>
          <w:p>
            <w:pPr>
              <w:spacing w:after="0"/>
            </w:pPr>
            <w:r/>
            <w:r>
              <w:rPr>
                <w:rFonts w:ascii="Arial" w:hAnsi="Arial"/>
                <w:b w:val="0"/>
                <w:color w:val="000000"/>
                <w:sz w:val="16"/>
              </w:rPr>
              <w:t>Starting model.</w:t>
            </w:r>
          </w:p>
        </w:tc>
        <w:tc>
          <w:tcPr>
            <w:tcW w:type="dxa" w:w="3096"/>
            <w:vAlign w:val="center"/>
          </w:tcPr>
          <w:p>
            <w:pPr>
              <w:spacing w:after="0"/>
            </w:pPr>
            <w:r/>
            <w:r>
              <w:rPr>
                <w:rFonts w:ascii="Arial" w:hAnsi="Arial"/>
                <w:b w:val="0"/>
                <w:color w:val="000000"/>
                <w:sz w:val="16"/>
              </w:rPr>
              <w:t>Does not use MPRF adult/juvenile/pup labels, pup-as-birth-year, independent raw-size modeling, notes, photos, or sex-specific evidence unless already embedded in the HAMER age class.</w:t>
            </w:r>
          </w:p>
        </w:tc>
      </w:tr>
      <w:tr>
        <w:tc>
          <w:tcPr>
            <w:tcW w:type="dxa" w:w="1080"/>
            <w:vAlign w:val="center"/>
          </w:tcPr>
          <w:p>
            <w:pPr>
              <w:spacing w:after="0"/>
            </w:pPr>
            <w:r/>
            <w:r>
              <w:rPr>
                <w:rFonts w:ascii="Arial" w:hAnsi="Arial"/>
                <w:b w:val="0"/>
                <w:color w:val="000000"/>
                <w:sz w:val="16"/>
              </w:rPr>
              <w:t>Model 2</w:t>
            </w:r>
          </w:p>
        </w:tc>
        <w:tc>
          <w:tcPr>
            <w:tcW w:type="dxa" w:w="3384"/>
            <w:vAlign w:val="center"/>
          </w:tcPr>
          <w:p>
            <w:pPr>
              <w:spacing w:after="0"/>
            </w:pPr>
            <w:r/>
            <w:r>
              <w:rPr>
                <w:rFonts w:ascii="Arial" w:hAnsi="Arial"/>
                <w:b w:val="0"/>
                <w:color w:val="000000"/>
                <w:sz w:val="16"/>
              </w:rPr>
              <w:t>Everything in Model 1, plus MPRF-provided age classes. Adult/mature is treated as mature; juvenile/pup/immature is treated as immature on the MPRF first/effective sighting date.</w:t>
            </w:r>
          </w:p>
        </w:tc>
        <w:tc>
          <w:tcPr>
            <w:tcW w:type="dxa" w:w="2232"/>
            <w:vAlign w:val="center"/>
          </w:tcPr>
          <w:p>
            <w:pPr>
              <w:spacing w:after="0"/>
            </w:pPr>
            <w:r/>
            <w:r>
              <w:rPr>
                <w:rFonts w:ascii="Arial" w:hAnsi="Arial"/>
                <w:b w:val="0"/>
                <w:color w:val="000000"/>
                <w:sz w:val="16"/>
              </w:rPr>
              <w:t>Adds medium-confidence MPRF age-class labels, increasing pairwise edges from 43 to 597.</w:t>
            </w:r>
          </w:p>
        </w:tc>
        <w:tc>
          <w:tcPr>
            <w:tcW w:type="dxa" w:w="3096"/>
            <w:vAlign w:val="center"/>
          </w:tcPr>
          <w:p>
            <w:pPr>
              <w:spacing w:after="0"/>
            </w:pPr>
            <w:r/>
            <w:r>
              <w:rPr>
                <w:rFonts w:ascii="Arial" w:hAnsi="Arial"/>
                <w:b w:val="0"/>
                <w:color w:val="000000"/>
                <w:sz w:val="16"/>
              </w:rPr>
              <w:t>Still does not separate pup from juvenile as a birth-year anchor, and does not independently verify the field criteria behind MPRF age classes.</w:t>
            </w:r>
          </w:p>
        </w:tc>
      </w:tr>
      <w:tr>
        <w:tc>
          <w:tcPr>
            <w:tcW w:type="dxa" w:w="1080"/>
            <w:vAlign w:val="center"/>
          </w:tcPr>
          <w:p>
            <w:pPr>
              <w:spacing w:after="0"/>
            </w:pPr>
            <w:r/>
            <w:r>
              <w:rPr>
                <w:rFonts w:ascii="Arial" w:hAnsi="Arial"/>
                <w:b w:val="0"/>
                <w:color w:val="000000"/>
                <w:sz w:val="16"/>
              </w:rPr>
              <w:t>Model 3</w:t>
            </w:r>
          </w:p>
        </w:tc>
        <w:tc>
          <w:tcPr>
            <w:tcW w:type="dxa" w:w="3384"/>
            <w:vAlign w:val="center"/>
          </w:tcPr>
          <w:p>
            <w:pPr>
              <w:spacing w:after="0"/>
            </w:pPr>
            <w:r/>
            <w:r>
              <w:rPr>
                <w:rFonts w:ascii="Arial" w:hAnsi="Arial"/>
                <w:b w:val="0"/>
                <w:color w:val="000000"/>
                <w:sz w:val="16"/>
              </w:rPr>
              <w:t>Everything in Model 2, plus explicit pup birth-year anchors and immature/pup +15-year mature-date fields when later sighting history supports that derived date.</w:t>
            </w:r>
          </w:p>
        </w:tc>
        <w:tc>
          <w:tcPr>
            <w:tcW w:type="dxa" w:w="2232"/>
            <w:vAlign w:val="center"/>
          </w:tcPr>
          <w:p>
            <w:pPr>
              <w:spacing w:after="0"/>
            </w:pPr>
            <w:r/>
            <w:r>
              <w:rPr>
                <w:rFonts w:ascii="Arial" w:hAnsi="Arial"/>
                <w:b w:val="0"/>
                <w:color w:val="000000"/>
                <w:sz w:val="16"/>
              </w:rPr>
              <w:t>Adds transparency/audit fields for pup and +15-year logic; no rank or score changes in the current files.</w:t>
            </w:r>
          </w:p>
        </w:tc>
        <w:tc>
          <w:tcPr>
            <w:tcW w:type="dxa" w:w="3096"/>
            <w:vAlign w:val="center"/>
          </w:tcPr>
          <w:p>
            <w:pPr>
              <w:spacing w:after="0"/>
            </w:pPr>
            <w:r/>
            <w:r>
              <w:rPr>
                <w:rFonts w:ascii="Arial" w:hAnsi="Arial"/>
                <w:b w:val="0"/>
                <w:color w:val="000000"/>
                <w:sz w:val="16"/>
              </w:rPr>
              <w:t>Still does not independently re-evaluate raw size measurements, measurement trends, reproductive notes, clasper notes, photos, or unresolved QC corrections.</w:t>
            </w:r>
          </w:p>
        </w:tc>
      </w:tr>
    </w:tbl>
    <w:p>
      <w:pPr>
        <w:spacing w:after="80" w:line="259" w:lineRule="auto"/>
      </w:pPr>
      <w:r>
        <w:rPr>
          <w:rFonts w:ascii="Arial" w:hAnsi="Arial"/>
          <w:sz w:val="18"/>
        </w:rPr>
        <w:t>Size treatment: raw size measurements were not re-modeled independently in any of these three models. However, HAMER age-class calls may already include size-based maturity or immaturity decisions made in the field/database, so that size-informed evidence is incorporated through the HAMER age-class field in Model 1 and carried forward into Models 2 and 3.</w:t>
      </w:r>
    </w:p>
    <w:p>
      <w:pPr>
        <w:spacing w:after="80" w:line="259" w:lineRule="auto"/>
      </w:pPr>
      <w:r>
        <w:rPr>
          <w:rFonts w:ascii="Arial" w:hAnsi="Arial"/>
          <w:sz w:val="18"/>
        </w:rPr>
        <w:t>Evidence density increases from 43 pairwise edges in Model 1 to 597 in Model 2. Model 3 remains at 597 edges because, in these files, the new pup-birth-year fields clarify the evidence rather than adding new rank-separating comparisons.</w:t>
      </w:r>
    </w:p>
    <w:p>
      <w:pPr>
        <w:spacing w:before="140" w:after="60"/>
      </w:pPr>
      <w:r>
        <w:rPr>
          <w:rFonts w:ascii="Arial" w:hAnsi="Arial"/>
          <w:b/>
          <w:color w:val="1F4E79"/>
          <w:sz w:val="24"/>
        </w:rPr>
        <w:t>How Rankings Changed</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16"/>
            <w:vAlign w:val="center"/>
            <w:shd w:fill="1F4E79"/>
          </w:tcPr>
          <w:p>
            <w:pPr>
              <w:spacing w:after="0"/>
            </w:pPr>
            <w:r/>
            <w:r>
              <w:rPr>
                <w:rFonts w:ascii="Arial" w:hAnsi="Arial"/>
                <w:b/>
                <w:color w:val="FFFFFF"/>
                <w:sz w:val="16"/>
              </w:rPr>
              <w:t>Transition</w:t>
            </w:r>
          </w:p>
        </w:tc>
        <w:tc>
          <w:tcPr>
            <w:tcW w:type="dxa" w:w="1440"/>
            <w:vAlign w:val="center"/>
            <w:shd w:fill="1F4E79"/>
          </w:tcPr>
          <w:p>
            <w:pPr>
              <w:spacing w:after="0"/>
            </w:pPr>
            <w:r/>
            <w:r>
              <w:rPr>
                <w:rFonts w:ascii="Arial" w:hAnsi="Arial"/>
                <w:b/>
                <w:color w:val="FFFFFF"/>
                <w:sz w:val="16"/>
              </w:rPr>
              <w:t>Moved older</w:t>
            </w:r>
          </w:p>
        </w:tc>
        <w:tc>
          <w:tcPr>
            <w:tcW w:type="dxa" w:w="1440"/>
            <w:vAlign w:val="center"/>
            <w:shd w:fill="1F4E79"/>
          </w:tcPr>
          <w:p>
            <w:pPr>
              <w:spacing w:after="0"/>
            </w:pPr>
            <w:r/>
            <w:r>
              <w:rPr>
                <w:rFonts w:ascii="Arial" w:hAnsi="Arial"/>
                <w:b/>
                <w:color w:val="FFFFFF"/>
                <w:sz w:val="16"/>
              </w:rPr>
              <w:t>Moved younger</w:t>
            </w:r>
          </w:p>
        </w:tc>
        <w:tc>
          <w:tcPr>
            <w:tcW w:type="dxa" w:w="1440"/>
            <w:vAlign w:val="center"/>
            <w:shd w:fill="1F4E79"/>
          </w:tcPr>
          <w:p>
            <w:pPr>
              <w:spacing w:after="0"/>
            </w:pPr>
            <w:r/>
            <w:r>
              <w:rPr>
                <w:rFonts w:ascii="Arial" w:hAnsi="Arial"/>
                <w:b/>
                <w:color w:val="FFFFFF"/>
                <w:sz w:val="16"/>
              </w:rPr>
              <w:t>Same rank</w:t>
            </w:r>
          </w:p>
        </w:tc>
        <w:tc>
          <w:tcPr>
            <w:tcW w:type="dxa" w:w="1584"/>
            <w:vAlign w:val="center"/>
            <w:shd w:fill="1F4E79"/>
          </w:tcPr>
          <w:p>
            <w:pPr>
              <w:spacing w:after="0"/>
            </w:pPr>
            <w:r/>
            <w:r>
              <w:rPr>
                <w:rFonts w:ascii="Arial" w:hAnsi="Arial"/>
                <w:b/>
                <w:color w:val="FFFFFF"/>
                <w:sz w:val="16"/>
              </w:rPr>
              <w:t>Score changed</w:t>
            </w:r>
          </w:p>
        </w:tc>
      </w:tr>
      <w:tr>
        <w:tc>
          <w:tcPr>
            <w:tcW w:type="dxa" w:w="2016"/>
            <w:vAlign w:val="center"/>
          </w:tcPr>
          <w:p>
            <w:pPr>
              <w:spacing w:after="0"/>
            </w:pPr>
            <w:r/>
            <w:r>
              <w:rPr>
                <w:rFonts w:ascii="Arial" w:hAnsi="Arial"/>
                <w:b w:val="0"/>
                <w:color w:val="000000"/>
                <w:sz w:val="16"/>
              </w:rPr>
              <w:t>Model 1 -&gt; 2</w:t>
            </w:r>
          </w:p>
        </w:tc>
        <w:tc>
          <w:tcPr>
            <w:tcW w:type="dxa" w:w="1440"/>
            <w:vAlign w:val="center"/>
          </w:tcPr>
          <w:p>
            <w:pPr>
              <w:spacing w:after="0"/>
            </w:pPr>
            <w:r/>
            <w:r>
              <w:rPr>
                <w:rFonts w:ascii="Arial" w:hAnsi="Arial"/>
                <w:b w:val="0"/>
                <w:color w:val="000000"/>
                <w:sz w:val="16"/>
              </w:rPr>
              <w:t>11</w:t>
            </w:r>
          </w:p>
        </w:tc>
        <w:tc>
          <w:tcPr>
            <w:tcW w:type="dxa" w:w="1440"/>
            <w:vAlign w:val="center"/>
          </w:tcPr>
          <w:p>
            <w:pPr>
              <w:spacing w:after="0"/>
            </w:pPr>
            <w:r/>
            <w:r>
              <w:rPr>
                <w:rFonts w:ascii="Arial" w:hAnsi="Arial"/>
                <w:b w:val="0"/>
                <w:color w:val="000000"/>
                <w:sz w:val="16"/>
              </w:rPr>
              <w:t>71</w:t>
            </w:r>
          </w:p>
        </w:tc>
        <w:tc>
          <w:tcPr>
            <w:tcW w:type="dxa" w:w="1440"/>
            <w:vAlign w:val="center"/>
          </w:tcPr>
          <w:p>
            <w:pPr>
              <w:spacing w:after="0"/>
            </w:pPr>
            <w:r/>
            <w:r>
              <w:rPr>
                <w:rFonts w:ascii="Arial" w:hAnsi="Arial"/>
                <w:b w:val="0"/>
                <w:color w:val="000000"/>
                <w:sz w:val="16"/>
              </w:rPr>
              <w:t>1</w:t>
            </w:r>
          </w:p>
        </w:tc>
        <w:tc>
          <w:tcPr>
            <w:tcW w:type="dxa" w:w="1584"/>
            <w:vAlign w:val="center"/>
          </w:tcPr>
          <w:p>
            <w:pPr>
              <w:spacing w:after="0"/>
            </w:pPr>
            <w:r/>
            <w:r>
              <w:rPr>
                <w:rFonts w:ascii="Arial" w:hAnsi="Arial"/>
                <w:b w:val="0"/>
                <w:color w:val="000000"/>
                <w:sz w:val="16"/>
              </w:rPr>
              <w:t>75</w:t>
            </w:r>
          </w:p>
        </w:tc>
      </w:tr>
      <w:tr>
        <w:tc>
          <w:tcPr>
            <w:tcW w:type="dxa" w:w="2016"/>
            <w:vAlign w:val="center"/>
          </w:tcPr>
          <w:p>
            <w:pPr>
              <w:spacing w:after="0"/>
            </w:pPr>
            <w:r/>
            <w:r>
              <w:rPr>
                <w:rFonts w:ascii="Arial" w:hAnsi="Arial"/>
                <w:b w:val="0"/>
                <w:color w:val="000000"/>
                <w:sz w:val="16"/>
              </w:rPr>
              <w:t>Model 2 -&gt; 3</w:t>
            </w:r>
          </w:p>
        </w:tc>
        <w:tc>
          <w:tcPr>
            <w:tcW w:type="dxa" w:w="1440"/>
            <w:vAlign w:val="center"/>
          </w:tcPr>
          <w:p>
            <w:pPr>
              <w:spacing w:after="0"/>
            </w:pPr>
            <w:r/>
            <w:r>
              <w:rPr>
                <w:rFonts w:ascii="Arial" w:hAnsi="Arial"/>
                <w:b w:val="0"/>
                <w:color w:val="000000"/>
                <w:sz w:val="16"/>
              </w:rPr>
              <w:t>0</w:t>
            </w:r>
          </w:p>
        </w:tc>
        <w:tc>
          <w:tcPr>
            <w:tcW w:type="dxa" w:w="1440"/>
            <w:vAlign w:val="center"/>
          </w:tcPr>
          <w:p>
            <w:pPr>
              <w:spacing w:after="0"/>
            </w:pPr>
            <w:r/>
            <w:r>
              <w:rPr>
                <w:rFonts w:ascii="Arial" w:hAnsi="Arial"/>
                <w:b w:val="0"/>
                <w:color w:val="000000"/>
                <w:sz w:val="16"/>
              </w:rPr>
              <w:t>0</w:t>
            </w:r>
          </w:p>
        </w:tc>
        <w:tc>
          <w:tcPr>
            <w:tcW w:type="dxa" w:w="1440"/>
            <w:vAlign w:val="center"/>
          </w:tcPr>
          <w:p>
            <w:pPr>
              <w:spacing w:after="0"/>
            </w:pPr>
            <w:r/>
            <w:r>
              <w:rPr>
                <w:rFonts w:ascii="Arial" w:hAnsi="Arial"/>
                <w:b w:val="0"/>
                <w:color w:val="000000"/>
                <w:sz w:val="16"/>
              </w:rPr>
              <w:t>83</w:t>
            </w:r>
          </w:p>
        </w:tc>
        <w:tc>
          <w:tcPr>
            <w:tcW w:type="dxa" w:w="1584"/>
            <w:vAlign w:val="center"/>
          </w:tcPr>
          <w:p>
            <w:pPr>
              <w:spacing w:after="0"/>
            </w:pPr>
            <w:r/>
            <w:r>
              <w:rPr>
                <w:rFonts w:ascii="Arial" w:hAnsi="Arial"/>
                <w:b w:val="0"/>
                <w:color w:val="000000"/>
                <w:sz w:val="16"/>
              </w:rPr>
              <w:t>0</w:t>
            </w:r>
          </w:p>
        </w:tc>
      </w:tr>
    </w:tbl>
    <w:p>
      <w:pPr>
        <w:spacing w:after="80" w:line="259" w:lineRule="auto"/>
      </w:pPr>
      <w:r>
        <w:rPr>
          <w:rFonts w:ascii="Arial" w:hAnsi="Arial"/>
          <w:sz w:val="18"/>
        </w:rPr>
        <w:t>Interpretation: Model 2 supplies many more immature anchors through MPRF age classes, which increases the number of pairwise comparisons and spreads the ranking. Older/mature individuals tend to move higher because they are now ordered before many more MPRF juvenile/pup samples. Samples with only immature evidence tend to move lower because they are now explicitly younger than more mature-dated samples.</w:t>
      </w:r>
    </w:p>
    <w:p>
      <w:r>
        <w:br w:type="page"/>
      </w:r>
    </w:p>
    <w:p>
      <w:pPr>
        <w:spacing w:before="140" w:after="60"/>
      </w:pPr>
      <w:r>
        <w:rPr>
          <w:rFonts w:ascii="Arial" w:hAnsi="Arial"/>
          <w:b/>
          <w:color w:val="1F4E79"/>
          <w:sz w:val="24"/>
        </w:rPr>
        <w:t>Largest Model 1 to Model 2 Rank Movements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3024"/>
            <w:vAlign w:val="center"/>
            <w:shd w:fill="1F4E79"/>
          </w:tcPr>
          <w:p>
            <w:pPr>
              <w:spacing w:after="0"/>
            </w:pPr>
            <w:r/>
            <w:r>
              <w:rPr>
                <w:rFonts w:ascii="Arial" w:hAnsi="Arial"/>
                <w:b/>
                <w:color w:val="FFFFFF"/>
                <w:sz w:val="16"/>
              </w:rPr>
              <w:t>Sample</w:t>
            </w:r>
          </w:p>
        </w:tc>
        <w:tc>
          <w:tcPr>
            <w:tcW w:type="dxa" w:w="1008"/>
            <w:vAlign w:val="center"/>
            <w:shd w:fill="1F4E79"/>
          </w:tcPr>
          <w:p>
            <w:pPr>
              <w:spacing w:after="0"/>
            </w:pPr>
            <w:r/>
            <w:r>
              <w:rPr>
                <w:rFonts w:ascii="Arial" w:hAnsi="Arial"/>
                <w:b/>
                <w:color w:val="FFFFFF"/>
                <w:sz w:val="16"/>
              </w:rPr>
              <w:t>Source</w:t>
            </w:r>
          </w:p>
        </w:tc>
        <w:tc>
          <w:tcPr>
            <w:tcW w:type="dxa" w:w="936"/>
            <w:vAlign w:val="center"/>
            <w:shd w:fill="1F4E79"/>
          </w:tcPr>
          <w:p>
            <w:pPr>
              <w:spacing w:after="0"/>
            </w:pPr>
            <w:r/>
            <w:r>
              <w:rPr>
                <w:rFonts w:ascii="Arial" w:hAnsi="Arial"/>
                <w:b/>
                <w:color w:val="FFFFFF"/>
                <w:sz w:val="16"/>
              </w:rPr>
              <w:t>M1 rank</w:t>
            </w:r>
          </w:p>
        </w:tc>
        <w:tc>
          <w:tcPr>
            <w:tcW w:type="dxa" w:w="936"/>
            <w:vAlign w:val="center"/>
            <w:shd w:fill="1F4E79"/>
          </w:tcPr>
          <w:p>
            <w:pPr>
              <w:spacing w:after="0"/>
            </w:pPr>
            <w:r/>
            <w:r>
              <w:rPr>
                <w:rFonts w:ascii="Arial" w:hAnsi="Arial"/>
                <w:b/>
                <w:color w:val="FFFFFF"/>
                <w:sz w:val="16"/>
              </w:rPr>
              <w:t>M2 rank</w:t>
            </w:r>
          </w:p>
        </w:tc>
        <w:tc>
          <w:tcPr>
            <w:tcW w:type="dxa" w:w="792"/>
            <w:vAlign w:val="center"/>
            <w:shd w:fill="1F4E79"/>
          </w:tcPr>
          <w:p>
            <w:pPr>
              <w:spacing w:after="0"/>
            </w:pPr>
            <w:r/>
            <w:r>
              <w:rPr>
                <w:rFonts w:ascii="Arial" w:hAnsi="Arial"/>
                <w:b/>
                <w:color w:val="FFFFFF"/>
                <w:sz w:val="16"/>
              </w:rPr>
              <w:t>Delta</w:t>
            </w:r>
          </w:p>
        </w:tc>
        <w:tc>
          <w:tcPr>
            <w:tcW w:type="dxa" w:w="1944"/>
            <w:vAlign w:val="center"/>
            <w:shd w:fill="1F4E79"/>
          </w:tcPr>
          <w:p>
            <w:pPr>
              <w:spacing w:after="0"/>
            </w:pPr>
            <w:r/>
            <w:r>
              <w:rPr>
                <w:rFonts w:ascii="Arial" w:hAnsi="Arial"/>
                <w:b/>
                <w:color w:val="FFFFFF"/>
                <w:sz w:val="16"/>
              </w:rPr>
              <w:t>M2 evidence</w:t>
            </w:r>
          </w:p>
        </w:tc>
      </w:tr>
      <w:tr>
        <w:tc>
          <w:tcPr>
            <w:tcW w:type="dxa" w:w="3024"/>
            <w:vAlign w:val="center"/>
          </w:tcPr>
          <w:p>
            <w:pPr>
              <w:spacing w:after="0"/>
            </w:pPr>
            <w:r/>
            <w:r>
              <w:rPr>
                <w:rFonts w:ascii="Arial" w:hAnsi="Arial"/>
                <w:b w:val="0"/>
                <w:color w:val="000000"/>
                <w:sz w:val="16"/>
              </w:rPr>
              <w:t>Melainah MP147 Cat59</w:t>
            </w:r>
          </w:p>
        </w:tc>
        <w:tc>
          <w:tcPr>
            <w:tcW w:type="dxa" w:w="1008"/>
            <w:vAlign w:val="center"/>
          </w:tcPr>
          <w:p>
            <w:pPr>
              <w:spacing w:after="0"/>
            </w:pPr>
            <w:r/>
            <w:r>
              <w:rPr>
                <w:rFonts w:ascii="Arial" w:hAnsi="Arial"/>
                <w:b w:val="0"/>
                <w:color w:val="000000"/>
                <w:sz w:val="16"/>
              </w:rPr>
              <w:t>HAMER</w:t>
            </w:r>
          </w:p>
        </w:tc>
        <w:tc>
          <w:tcPr>
            <w:tcW w:type="dxa" w:w="936"/>
            <w:vAlign w:val="center"/>
          </w:tcPr>
          <w:p>
            <w:pPr>
              <w:spacing w:after="0"/>
            </w:pPr>
            <w:r/>
            <w:r>
              <w:rPr>
                <w:rFonts w:ascii="Arial" w:hAnsi="Arial"/>
                <w:b w:val="0"/>
                <w:color w:val="000000"/>
                <w:sz w:val="16"/>
              </w:rPr>
              <w:t>75</w:t>
            </w:r>
          </w:p>
        </w:tc>
        <w:tc>
          <w:tcPr>
            <w:tcW w:type="dxa" w:w="936"/>
            <w:vAlign w:val="center"/>
          </w:tcPr>
          <w:p>
            <w:pPr>
              <w:spacing w:after="0"/>
            </w:pPr>
            <w:r/>
            <w:r>
              <w:rPr>
                <w:rFonts w:ascii="Arial" w:hAnsi="Arial"/>
                <w:b w:val="0"/>
                <w:color w:val="000000"/>
                <w:sz w:val="16"/>
              </w:rPr>
              <w:t>39</w:t>
            </w:r>
          </w:p>
        </w:tc>
        <w:tc>
          <w:tcPr>
            <w:tcW w:type="dxa" w:w="792"/>
            <w:vAlign w:val="center"/>
          </w:tcPr>
          <w:p>
            <w:pPr>
              <w:spacing w:after="0"/>
            </w:pPr>
            <w:r/>
            <w:r>
              <w:rPr>
                <w:rFonts w:ascii="Arial" w:hAnsi="Arial"/>
                <w:b w:val="0"/>
                <w:color w:val="000000"/>
                <w:sz w:val="16"/>
              </w:rPr>
              <w:t>36</w:t>
            </w:r>
          </w:p>
        </w:tc>
        <w:tc>
          <w:tcPr>
            <w:tcW w:type="dxa" w:w="1944"/>
            <w:vAlign w:val="center"/>
          </w:tcPr>
          <w:p>
            <w:pPr>
              <w:spacing w:after="0"/>
            </w:pPr>
            <w:r/>
            <w:r>
              <w:rPr>
                <w:rFonts w:ascii="Arial" w:hAnsi="Arial"/>
                <w:b w:val="0"/>
                <w:color w:val="000000"/>
                <w:sz w:val="16"/>
              </w:rPr>
              <w:t>immature</w:t>
            </w:r>
          </w:p>
        </w:tc>
      </w:tr>
      <w:tr>
        <w:tc>
          <w:tcPr>
            <w:tcW w:type="dxa" w:w="3024"/>
            <w:vAlign w:val="center"/>
          </w:tcPr>
          <w:p>
            <w:pPr>
              <w:spacing w:after="0"/>
            </w:pPr>
            <w:r/>
            <w:r>
              <w:rPr>
                <w:rFonts w:ascii="Arial" w:hAnsi="Arial"/>
                <w:b w:val="0"/>
                <w:color w:val="000000"/>
                <w:sz w:val="16"/>
              </w:rPr>
              <w:t>Not RR F Cat71</w:t>
            </w:r>
          </w:p>
        </w:tc>
        <w:tc>
          <w:tcPr>
            <w:tcW w:type="dxa" w:w="1008"/>
            <w:vAlign w:val="center"/>
          </w:tcPr>
          <w:p>
            <w:pPr>
              <w:spacing w:after="0"/>
            </w:pPr>
            <w:r/>
            <w:r>
              <w:rPr>
                <w:rFonts w:ascii="Arial" w:hAnsi="Arial"/>
                <w:b w:val="0"/>
                <w:color w:val="000000"/>
                <w:sz w:val="16"/>
              </w:rPr>
              <w:t>HAMER</w:t>
            </w:r>
          </w:p>
        </w:tc>
        <w:tc>
          <w:tcPr>
            <w:tcW w:type="dxa" w:w="936"/>
            <w:vAlign w:val="center"/>
          </w:tcPr>
          <w:p>
            <w:pPr>
              <w:spacing w:after="0"/>
            </w:pPr>
            <w:r/>
            <w:r>
              <w:rPr>
                <w:rFonts w:ascii="Arial" w:hAnsi="Arial"/>
                <w:b w:val="0"/>
                <w:color w:val="000000"/>
                <w:sz w:val="16"/>
              </w:rPr>
              <w:t>75</w:t>
            </w:r>
          </w:p>
        </w:tc>
        <w:tc>
          <w:tcPr>
            <w:tcW w:type="dxa" w:w="936"/>
            <w:vAlign w:val="center"/>
          </w:tcPr>
          <w:p>
            <w:pPr>
              <w:spacing w:after="0"/>
            </w:pPr>
            <w:r/>
            <w:r>
              <w:rPr>
                <w:rFonts w:ascii="Arial" w:hAnsi="Arial"/>
                <w:b w:val="0"/>
                <w:color w:val="000000"/>
                <w:sz w:val="16"/>
              </w:rPr>
              <w:t>39</w:t>
            </w:r>
          </w:p>
        </w:tc>
        <w:tc>
          <w:tcPr>
            <w:tcW w:type="dxa" w:w="792"/>
            <w:vAlign w:val="center"/>
          </w:tcPr>
          <w:p>
            <w:pPr>
              <w:spacing w:after="0"/>
            </w:pPr>
            <w:r/>
            <w:r>
              <w:rPr>
                <w:rFonts w:ascii="Arial" w:hAnsi="Arial"/>
                <w:b w:val="0"/>
                <w:color w:val="000000"/>
                <w:sz w:val="16"/>
              </w:rPr>
              <w:t>36</w:t>
            </w:r>
          </w:p>
        </w:tc>
        <w:tc>
          <w:tcPr>
            <w:tcW w:type="dxa" w:w="1944"/>
            <w:vAlign w:val="center"/>
          </w:tcPr>
          <w:p>
            <w:pPr>
              <w:spacing w:after="0"/>
            </w:pPr>
            <w:r/>
            <w:r>
              <w:rPr>
                <w:rFonts w:ascii="Arial" w:hAnsi="Arial"/>
                <w:b w:val="0"/>
                <w:color w:val="000000"/>
                <w:sz w:val="16"/>
              </w:rPr>
              <w:t>immature</w:t>
            </w:r>
          </w:p>
        </w:tc>
      </w:tr>
      <w:tr>
        <w:tc>
          <w:tcPr>
            <w:tcW w:type="dxa" w:w="3024"/>
            <w:vAlign w:val="center"/>
          </w:tcPr>
          <w:p>
            <w:pPr>
              <w:spacing w:after="0"/>
            </w:pPr>
            <w:r/>
            <w:r>
              <w:rPr>
                <w:rFonts w:ascii="Arial" w:hAnsi="Arial"/>
                <w:b w:val="0"/>
                <w:color w:val="000000"/>
                <w:sz w:val="16"/>
              </w:rPr>
              <w:t>Tucker MP206 Cat68</w:t>
            </w:r>
          </w:p>
        </w:tc>
        <w:tc>
          <w:tcPr>
            <w:tcW w:type="dxa" w:w="1008"/>
            <w:vAlign w:val="center"/>
          </w:tcPr>
          <w:p>
            <w:pPr>
              <w:spacing w:after="0"/>
            </w:pPr>
            <w:r/>
            <w:r>
              <w:rPr>
                <w:rFonts w:ascii="Arial" w:hAnsi="Arial"/>
                <w:b w:val="0"/>
                <w:color w:val="000000"/>
                <w:sz w:val="16"/>
              </w:rPr>
              <w:t>HAMER</w:t>
            </w:r>
          </w:p>
        </w:tc>
        <w:tc>
          <w:tcPr>
            <w:tcW w:type="dxa" w:w="936"/>
            <w:vAlign w:val="center"/>
          </w:tcPr>
          <w:p>
            <w:pPr>
              <w:spacing w:after="0"/>
            </w:pPr>
            <w:r/>
            <w:r>
              <w:rPr>
                <w:rFonts w:ascii="Arial" w:hAnsi="Arial"/>
                <w:b w:val="0"/>
                <w:color w:val="000000"/>
                <w:sz w:val="16"/>
              </w:rPr>
              <w:t>75</w:t>
            </w:r>
          </w:p>
        </w:tc>
        <w:tc>
          <w:tcPr>
            <w:tcW w:type="dxa" w:w="936"/>
            <w:vAlign w:val="center"/>
          </w:tcPr>
          <w:p>
            <w:pPr>
              <w:spacing w:after="0"/>
            </w:pPr>
            <w:r/>
            <w:r>
              <w:rPr>
                <w:rFonts w:ascii="Arial" w:hAnsi="Arial"/>
                <w:b w:val="0"/>
                <w:color w:val="000000"/>
                <w:sz w:val="16"/>
              </w:rPr>
              <w:t>39</w:t>
            </w:r>
          </w:p>
        </w:tc>
        <w:tc>
          <w:tcPr>
            <w:tcW w:type="dxa" w:w="792"/>
            <w:vAlign w:val="center"/>
          </w:tcPr>
          <w:p>
            <w:pPr>
              <w:spacing w:after="0"/>
            </w:pPr>
            <w:r/>
            <w:r>
              <w:rPr>
                <w:rFonts w:ascii="Arial" w:hAnsi="Arial"/>
                <w:b w:val="0"/>
                <w:color w:val="000000"/>
                <w:sz w:val="16"/>
              </w:rPr>
              <w:t>36</w:t>
            </w:r>
          </w:p>
        </w:tc>
        <w:tc>
          <w:tcPr>
            <w:tcW w:type="dxa" w:w="1944"/>
            <w:vAlign w:val="center"/>
          </w:tcPr>
          <w:p>
            <w:pPr>
              <w:spacing w:after="0"/>
            </w:pPr>
            <w:r/>
            <w:r>
              <w:rPr>
                <w:rFonts w:ascii="Arial" w:hAnsi="Arial"/>
                <w:b w:val="0"/>
                <w:color w:val="000000"/>
                <w:sz w:val="16"/>
              </w:rPr>
              <w:t>immature</w:t>
            </w:r>
          </w:p>
        </w:tc>
      </w:tr>
      <w:tr>
        <w:tc>
          <w:tcPr>
            <w:tcW w:type="dxa" w:w="3024"/>
            <w:vAlign w:val="center"/>
          </w:tcPr>
          <w:p>
            <w:pPr>
              <w:spacing w:after="0"/>
            </w:pPr>
            <w:r/>
            <w:r>
              <w:rPr>
                <w:rFonts w:ascii="Arial" w:hAnsi="Arial"/>
                <w:b w:val="0"/>
                <w:color w:val="000000"/>
                <w:sz w:val="16"/>
              </w:rPr>
              <w:t>Vallaray MP110</w:t>
            </w:r>
          </w:p>
        </w:tc>
        <w:tc>
          <w:tcPr>
            <w:tcW w:type="dxa" w:w="1008"/>
            <w:vAlign w:val="center"/>
          </w:tcPr>
          <w:p>
            <w:pPr>
              <w:spacing w:after="0"/>
            </w:pPr>
            <w:r/>
            <w:r>
              <w:rPr>
                <w:rFonts w:ascii="Arial" w:hAnsi="Arial"/>
                <w:b w:val="0"/>
                <w:color w:val="000000"/>
                <w:sz w:val="16"/>
              </w:rPr>
              <w:t>HAMER</w:t>
            </w:r>
          </w:p>
        </w:tc>
        <w:tc>
          <w:tcPr>
            <w:tcW w:type="dxa" w:w="936"/>
            <w:vAlign w:val="center"/>
          </w:tcPr>
          <w:p>
            <w:pPr>
              <w:spacing w:after="0"/>
            </w:pPr>
            <w:r/>
            <w:r>
              <w:rPr>
                <w:rFonts w:ascii="Arial" w:hAnsi="Arial"/>
                <w:b w:val="0"/>
                <w:color w:val="000000"/>
                <w:sz w:val="16"/>
              </w:rPr>
              <w:t>75</w:t>
            </w:r>
          </w:p>
        </w:tc>
        <w:tc>
          <w:tcPr>
            <w:tcW w:type="dxa" w:w="936"/>
            <w:vAlign w:val="center"/>
          </w:tcPr>
          <w:p>
            <w:pPr>
              <w:spacing w:after="0"/>
            </w:pPr>
            <w:r/>
            <w:r>
              <w:rPr>
                <w:rFonts w:ascii="Arial" w:hAnsi="Arial"/>
                <w:b w:val="0"/>
                <w:color w:val="000000"/>
                <w:sz w:val="16"/>
              </w:rPr>
              <w:t>39</w:t>
            </w:r>
          </w:p>
        </w:tc>
        <w:tc>
          <w:tcPr>
            <w:tcW w:type="dxa" w:w="792"/>
            <w:vAlign w:val="center"/>
          </w:tcPr>
          <w:p>
            <w:pPr>
              <w:spacing w:after="0"/>
            </w:pPr>
            <w:r/>
            <w:r>
              <w:rPr>
                <w:rFonts w:ascii="Arial" w:hAnsi="Arial"/>
                <w:b w:val="0"/>
                <w:color w:val="000000"/>
                <w:sz w:val="16"/>
              </w:rPr>
              <w:t>36</w:t>
            </w:r>
          </w:p>
        </w:tc>
        <w:tc>
          <w:tcPr>
            <w:tcW w:type="dxa" w:w="1944"/>
            <w:vAlign w:val="center"/>
          </w:tcPr>
          <w:p>
            <w:pPr>
              <w:spacing w:after="0"/>
            </w:pPr>
            <w:r/>
            <w:r>
              <w:rPr>
                <w:rFonts w:ascii="Arial" w:hAnsi="Arial"/>
                <w:b w:val="0"/>
                <w:color w:val="000000"/>
                <w:sz w:val="16"/>
              </w:rPr>
              <w:t>immature</w:t>
            </w:r>
          </w:p>
        </w:tc>
      </w:tr>
      <w:tr>
        <w:tc>
          <w:tcPr>
            <w:tcW w:type="dxa" w:w="3024"/>
            <w:vAlign w:val="center"/>
          </w:tcPr>
          <w:p>
            <w:pPr>
              <w:spacing w:after="0"/>
            </w:pPr>
            <w:r/>
            <w:r>
              <w:rPr>
                <w:rFonts w:ascii="Arial" w:hAnsi="Arial"/>
                <w:b w:val="0"/>
                <w:color w:val="000000"/>
                <w:sz w:val="16"/>
              </w:rPr>
              <w:t>McBoom</w:t>
            </w:r>
          </w:p>
        </w:tc>
        <w:tc>
          <w:tcPr>
            <w:tcW w:type="dxa" w:w="1008"/>
            <w:vAlign w:val="center"/>
          </w:tcPr>
          <w:p>
            <w:pPr>
              <w:spacing w:after="0"/>
            </w:pPr>
            <w:r/>
            <w:r>
              <w:rPr>
                <w:rFonts w:ascii="Arial" w:hAnsi="Arial"/>
                <w:b w:val="0"/>
                <w:color w:val="000000"/>
                <w:sz w:val="16"/>
              </w:rPr>
              <w:t>MPRF</w:t>
            </w:r>
          </w:p>
        </w:tc>
        <w:tc>
          <w:tcPr>
            <w:tcW w:type="dxa" w:w="936"/>
            <w:vAlign w:val="center"/>
          </w:tcPr>
          <w:p>
            <w:pPr>
              <w:spacing w:after="0"/>
            </w:pPr>
            <w:r/>
            <w:r>
              <w:rPr>
                <w:rFonts w:ascii="Arial" w:hAnsi="Arial"/>
                <w:b w:val="0"/>
                <w:color w:val="000000"/>
                <w:sz w:val="16"/>
              </w:rPr>
              <w:t>9</w:t>
            </w:r>
          </w:p>
        </w:tc>
        <w:tc>
          <w:tcPr>
            <w:tcW w:type="dxa" w:w="936"/>
            <w:vAlign w:val="center"/>
          </w:tcPr>
          <w:p>
            <w:pPr>
              <w:spacing w:after="0"/>
            </w:pPr>
            <w:r/>
            <w:r>
              <w:rPr>
                <w:rFonts w:ascii="Arial" w:hAnsi="Arial"/>
                <w:b w:val="0"/>
                <w:color w:val="000000"/>
                <w:sz w:val="16"/>
              </w:rPr>
              <w:t>83</w:t>
            </w:r>
          </w:p>
        </w:tc>
        <w:tc>
          <w:tcPr>
            <w:tcW w:type="dxa" w:w="792"/>
            <w:vAlign w:val="center"/>
          </w:tcPr>
          <w:p>
            <w:pPr>
              <w:spacing w:after="0"/>
            </w:pPr>
            <w:r/>
            <w:r>
              <w:rPr>
                <w:rFonts w:ascii="Arial" w:hAnsi="Arial"/>
                <w:b w:val="0"/>
                <w:color w:val="000000"/>
                <w:sz w:val="16"/>
              </w:rPr>
              <w:t>-74</w:t>
            </w:r>
          </w:p>
        </w:tc>
        <w:tc>
          <w:tcPr>
            <w:tcW w:type="dxa" w:w="1944"/>
            <w:vAlign w:val="center"/>
          </w:tcPr>
          <w:p>
            <w:pPr>
              <w:spacing w:after="0"/>
            </w:pPr>
            <w:r/>
            <w:r>
              <w:rPr>
                <w:rFonts w:ascii="Arial" w:hAnsi="Arial"/>
                <w:b w:val="0"/>
                <w:color w:val="000000"/>
                <w:sz w:val="16"/>
              </w:rPr>
              <w:t>immature</w:t>
            </w:r>
          </w:p>
        </w:tc>
      </w:tr>
      <w:tr>
        <w:tc>
          <w:tcPr>
            <w:tcW w:type="dxa" w:w="3024"/>
            <w:vAlign w:val="center"/>
          </w:tcPr>
          <w:p>
            <w:pPr>
              <w:spacing w:after="0"/>
            </w:pPr>
            <w:r/>
            <w:r>
              <w:rPr>
                <w:rFonts w:ascii="Arial" w:hAnsi="Arial"/>
                <w:b w:val="0"/>
                <w:color w:val="000000"/>
                <w:sz w:val="16"/>
              </w:rPr>
              <w:t>Bob Smith</w:t>
            </w:r>
          </w:p>
        </w:tc>
        <w:tc>
          <w:tcPr>
            <w:tcW w:type="dxa" w:w="1008"/>
            <w:vAlign w:val="center"/>
          </w:tcPr>
          <w:p>
            <w:pPr>
              <w:spacing w:after="0"/>
            </w:pPr>
            <w:r/>
            <w:r>
              <w:rPr>
                <w:rFonts w:ascii="Arial" w:hAnsi="Arial"/>
                <w:b w:val="0"/>
                <w:color w:val="000000"/>
                <w:sz w:val="16"/>
              </w:rPr>
              <w:t>MPRF</w:t>
            </w:r>
          </w:p>
        </w:tc>
        <w:tc>
          <w:tcPr>
            <w:tcW w:type="dxa" w:w="936"/>
            <w:vAlign w:val="center"/>
          </w:tcPr>
          <w:p>
            <w:pPr>
              <w:spacing w:after="0"/>
            </w:pPr>
            <w:r/>
            <w:r>
              <w:rPr>
                <w:rFonts w:ascii="Arial" w:hAnsi="Arial"/>
                <w:b w:val="0"/>
                <w:color w:val="000000"/>
                <w:sz w:val="16"/>
              </w:rPr>
              <w:t>9</w:t>
            </w:r>
          </w:p>
        </w:tc>
        <w:tc>
          <w:tcPr>
            <w:tcW w:type="dxa" w:w="936"/>
            <w:vAlign w:val="center"/>
          </w:tcPr>
          <w:p>
            <w:pPr>
              <w:spacing w:after="0"/>
            </w:pPr>
            <w:r/>
            <w:r>
              <w:rPr>
                <w:rFonts w:ascii="Arial" w:hAnsi="Arial"/>
                <w:b w:val="0"/>
                <w:color w:val="000000"/>
                <w:sz w:val="16"/>
              </w:rPr>
              <w:t>80</w:t>
            </w:r>
          </w:p>
        </w:tc>
        <w:tc>
          <w:tcPr>
            <w:tcW w:type="dxa" w:w="792"/>
            <w:vAlign w:val="center"/>
          </w:tcPr>
          <w:p>
            <w:pPr>
              <w:spacing w:after="0"/>
            </w:pPr>
            <w:r/>
            <w:r>
              <w:rPr>
                <w:rFonts w:ascii="Arial" w:hAnsi="Arial"/>
                <w:b w:val="0"/>
                <w:color w:val="000000"/>
                <w:sz w:val="16"/>
              </w:rPr>
              <w:t>-71</w:t>
            </w:r>
          </w:p>
        </w:tc>
        <w:tc>
          <w:tcPr>
            <w:tcW w:type="dxa" w:w="1944"/>
            <w:vAlign w:val="center"/>
          </w:tcPr>
          <w:p>
            <w:pPr>
              <w:spacing w:after="0"/>
            </w:pPr>
            <w:r/>
            <w:r>
              <w:rPr>
                <w:rFonts w:ascii="Arial" w:hAnsi="Arial"/>
                <w:b w:val="0"/>
                <w:color w:val="000000"/>
                <w:sz w:val="16"/>
              </w:rPr>
              <w:t>immature</w:t>
            </w:r>
          </w:p>
        </w:tc>
      </w:tr>
      <w:tr>
        <w:tc>
          <w:tcPr>
            <w:tcW w:type="dxa" w:w="3024"/>
            <w:vAlign w:val="center"/>
          </w:tcPr>
          <w:p>
            <w:pPr>
              <w:spacing w:after="0"/>
            </w:pPr>
            <w:r/>
            <w:r>
              <w:rPr>
                <w:rFonts w:ascii="Arial" w:hAnsi="Arial"/>
                <w:b w:val="0"/>
                <w:color w:val="000000"/>
                <w:sz w:val="16"/>
              </w:rPr>
              <w:t>Chloe</w:t>
            </w:r>
          </w:p>
        </w:tc>
        <w:tc>
          <w:tcPr>
            <w:tcW w:type="dxa" w:w="1008"/>
            <w:vAlign w:val="center"/>
          </w:tcPr>
          <w:p>
            <w:pPr>
              <w:spacing w:after="0"/>
            </w:pPr>
            <w:r/>
            <w:r>
              <w:rPr>
                <w:rFonts w:ascii="Arial" w:hAnsi="Arial"/>
                <w:b w:val="0"/>
                <w:color w:val="000000"/>
                <w:sz w:val="16"/>
              </w:rPr>
              <w:t>MPRF</w:t>
            </w:r>
          </w:p>
        </w:tc>
        <w:tc>
          <w:tcPr>
            <w:tcW w:type="dxa" w:w="936"/>
            <w:vAlign w:val="center"/>
          </w:tcPr>
          <w:p>
            <w:pPr>
              <w:spacing w:after="0"/>
            </w:pPr>
            <w:r/>
            <w:r>
              <w:rPr>
                <w:rFonts w:ascii="Arial" w:hAnsi="Arial"/>
                <w:b w:val="0"/>
                <w:color w:val="000000"/>
                <w:sz w:val="16"/>
              </w:rPr>
              <w:t>9</w:t>
            </w:r>
          </w:p>
        </w:tc>
        <w:tc>
          <w:tcPr>
            <w:tcW w:type="dxa" w:w="936"/>
            <w:vAlign w:val="center"/>
          </w:tcPr>
          <w:p>
            <w:pPr>
              <w:spacing w:after="0"/>
            </w:pPr>
            <w:r/>
            <w:r>
              <w:rPr>
                <w:rFonts w:ascii="Arial" w:hAnsi="Arial"/>
                <w:b w:val="0"/>
                <w:color w:val="000000"/>
                <w:sz w:val="16"/>
              </w:rPr>
              <w:t>80</w:t>
            </w:r>
          </w:p>
        </w:tc>
        <w:tc>
          <w:tcPr>
            <w:tcW w:type="dxa" w:w="792"/>
            <w:vAlign w:val="center"/>
          </w:tcPr>
          <w:p>
            <w:pPr>
              <w:spacing w:after="0"/>
            </w:pPr>
            <w:r/>
            <w:r>
              <w:rPr>
                <w:rFonts w:ascii="Arial" w:hAnsi="Arial"/>
                <w:b w:val="0"/>
                <w:color w:val="000000"/>
                <w:sz w:val="16"/>
              </w:rPr>
              <w:t>-71</w:t>
            </w:r>
          </w:p>
        </w:tc>
        <w:tc>
          <w:tcPr>
            <w:tcW w:type="dxa" w:w="1944"/>
            <w:vAlign w:val="center"/>
          </w:tcPr>
          <w:p>
            <w:pPr>
              <w:spacing w:after="0"/>
            </w:pPr>
            <w:r/>
            <w:r>
              <w:rPr>
                <w:rFonts w:ascii="Arial" w:hAnsi="Arial"/>
                <w:b w:val="0"/>
                <w:color w:val="000000"/>
                <w:sz w:val="16"/>
              </w:rPr>
              <w:t>immature</w:t>
            </w:r>
          </w:p>
        </w:tc>
      </w:tr>
      <w:tr>
        <w:tc>
          <w:tcPr>
            <w:tcW w:type="dxa" w:w="3024"/>
            <w:vAlign w:val="center"/>
          </w:tcPr>
          <w:p>
            <w:pPr>
              <w:spacing w:after="0"/>
            </w:pPr>
            <w:r/>
            <w:r>
              <w:rPr>
                <w:rFonts w:ascii="Arial" w:hAnsi="Arial"/>
                <w:b w:val="0"/>
                <w:color w:val="000000"/>
                <w:sz w:val="16"/>
              </w:rPr>
              <w:t>Kamala</w:t>
            </w:r>
          </w:p>
        </w:tc>
        <w:tc>
          <w:tcPr>
            <w:tcW w:type="dxa" w:w="1008"/>
            <w:vAlign w:val="center"/>
          </w:tcPr>
          <w:p>
            <w:pPr>
              <w:spacing w:after="0"/>
            </w:pPr>
            <w:r/>
            <w:r>
              <w:rPr>
                <w:rFonts w:ascii="Arial" w:hAnsi="Arial"/>
                <w:b w:val="0"/>
                <w:color w:val="000000"/>
                <w:sz w:val="16"/>
              </w:rPr>
              <w:t>MPRF</w:t>
            </w:r>
          </w:p>
        </w:tc>
        <w:tc>
          <w:tcPr>
            <w:tcW w:type="dxa" w:w="936"/>
            <w:vAlign w:val="center"/>
          </w:tcPr>
          <w:p>
            <w:pPr>
              <w:spacing w:after="0"/>
            </w:pPr>
            <w:r/>
            <w:r>
              <w:rPr>
                <w:rFonts w:ascii="Arial" w:hAnsi="Arial"/>
                <w:b w:val="0"/>
                <w:color w:val="000000"/>
                <w:sz w:val="16"/>
              </w:rPr>
              <w:t>9</w:t>
            </w:r>
          </w:p>
        </w:tc>
        <w:tc>
          <w:tcPr>
            <w:tcW w:type="dxa" w:w="936"/>
            <w:vAlign w:val="center"/>
          </w:tcPr>
          <w:p>
            <w:pPr>
              <w:spacing w:after="0"/>
            </w:pPr>
            <w:r/>
            <w:r>
              <w:rPr>
                <w:rFonts w:ascii="Arial" w:hAnsi="Arial"/>
                <w:b w:val="0"/>
                <w:color w:val="000000"/>
                <w:sz w:val="16"/>
              </w:rPr>
              <w:t>80</w:t>
            </w:r>
          </w:p>
        </w:tc>
        <w:tc>
          <w:tcPr>
            <w:tcW w:type="dxa" w:w="792"/>
            <w:vAlign w:val="center"/>
          </w:tcPr>
          <w:p>
            <w:pPr>
              <w:spacing w:after="0"/>
            </w:pPr>
            <w:r/>
            <w:r>
              <w:rPr>
                <w:rFonts w:ascii="Arial" w:hAnsi="Arial"/>
                <w:b w:val="0"/>
                <w:color w:val="000000"/>
                <w:sz w:val="16"/>
              </w:rPr>
              <w:t>-71</w:t>
            </w:r>
          </w:p>
        </w:tc>
        <w:tc>
          <w:tcPr>
            <w:tcW w:type="dxa" w:w="1944"/>
            <w:vAlign w:val="center"/>
          </w:tcPr>
          <w:p>
            <w:pPr>
              <w:spacing w:after="0"/>
            </w:pPr>
            <w:r/>
            <w:r>
              <w:rPr>
                <w:rFonts w:ascii="Arial" w:hAnsi="Arial"/>
                <w:b w:val="0"/>
                <w:color w:val="000000"/>
                <w:sz w:val="16"/>
              </w:rPr>
              <w:t>immature</w:t>
            </w:r>
          </w:p>
        </w:tc>
      </w:tr>
    </w:tbl>
    <w:p>
      <w:pPr>
        <w:spacing w:before="140" w:after="60"/>
      </w:pPr>
      <w:r>
        <w:rPr>
          <w:rFonts w:ascii="Arial" w:hAnsi="Arial"/>
          <w:b/>
          <w:color w:val="1F4E79"/>
          <w:sz w:val="24"/>
        </w:rPr>
        <w:t>Confidence Context</w:t>
      </w:r>
    </w:p>
    <w:p>
      <w:pPr>
        <w:pStyle w:val="ListBullet"/>
        <w:spacing w:after="40"/>
      </w:pPr>
      <w:r>
        <w:rPr>
          <w:rFonts w:ascii="Arial" w:hAnsi="Arial"/>
          <w:sz w:val="18"/>
        </w:rPr>
        <w:t>Model 1 is the cleanest screen for parent/offspring exclusion because it relies on HAMER field maturity calls, which may already incorporate HAMER size thresholds, and long MPRF resight histories rather than broad MPRF age-class assumptions.</w:t>
      </w:r>
    </w:p>
    <w:p>
      <w:pPr>
        <w:pStyle w:val="ListBullet"/>
        <w:spacing w:after="40"/>
      </w:pPr>
      <w:r>
        <w:rPr>
          <w:rFonts w:ascii="Arial" w:hAnsi="Arial"/>
          <w:sz w:val="18"/>
        </w:rPr>
        <w:t>Model 2 is useful for ranking all 83 samples but lower confidence for MPRF-only age classes, because the underlying maturity criteria may not be consistently documented.</w:t>
      </w:r>
    </w:p>
    <w:p>
      <w:pPr>
        <w:pStyle w:val="ListBullet"/>
        <w:spacing w:after="40"/>
      </w:pPr>
      <w:r>
        <w:rPr>
          <w:rFonts w:ascii="Arial" w:hAnsi="Arial"/>
          <w:sz w:val="18"/>
        </w:rPr>
        <w:t>Model 3 is not a new rank outcome in the current files; its value is transparency. It preserves the pup birth-year anchor and the derived +15-year maturity dates for review.</w:t>
      </w:r>
    </w:p>
    <w:p>
      <w:pPr>
        <w:pStyle w:val="ListBullet"/>
        <w:spacing w:after="40"/>
      </w:pPr>
      <w:r>
        <w:rPr>
          <w:rFonts w:ascii="Arial" w:hAnsi="Arial"/>
          <w:sz w:val="18"/>
        </w:rPr>
        <w:t>All models remain sensitive to ongoing QC of sighting, manta, photo, biopsy, and catalog links. Treat ranks as relative evidence weights, not definitive ages.</w:t>
      </w:r>
    </w:p>
    <w:p>
      <w:pPr>
        <w:spacing w:before="140" w:after="60"/>
      </w:pPr>
      <w:r>
        <w:rPr>
          <w:rFonts w:ascii="Arial" w:hAnsi="Arial"/>
          <w:b/>
          <w:color w:val="1F4E79"/>
          <w:sz w:val="24"/>
        </w:rPr>
        <w:t>Recommended Next Checks</w:t>
      </w:r>
    </w:p>
    <w:p>
      <w:pPr>
        <w:pStyle w:val="ListBullet"/>
        <w:spacing w:after="40"/>
      </w:pPr>
      <w:r>
        <w:rPr>
          <w:rFonts w:ascii="Arial" w:hAnsi="Arial"/>
          <w:sz w:val="18"/>
        </w:rPr>
        <w:t>Review the 32 pup birth-year anchors and confirm whether each pup label is defensible as a near-birth-year observation.</w:t>
      </w:r>
    </w:p>
    <w:p>
      <w:pPr>
        <w:pStyle w:val="ListBullet"/>
        <w:spacing w:after="40"/>
      </w:pPr>
      <w:r>
        <w:rPr>
          <w:rFonts w:ascii="Arial" w:hAnsi="Arial"/>
          <w:sz w:val="18"/>
        </w:rPr>
        <w:t>For MPRF adult/juvenile labels, inspect notes, photos, size records, mating scars, pregnancy, mating-train context, and clasper evidence where available.</w:t>
      </w:r>
    </w:p>
    <w:p>
      <w:pPr>
        <w:pStyle w:val="ListBullet"/>
        <w:spacing w:after="40"/>
      </w:pPr>
      <w:r>
        <w:rPr>
          <w:rFonts w:ascii="Arial" w:hAnsi="Arial"/>
          <w:sz w:val="18"/>
        </w:rPr>
        <w:t>Add independent raw-size modeling only after checking measurement consistency over time; large up/down size fluctuations should be flagged before being used as maturity evidence.</w:t>
      </w:r>
    </w:p>
    <w:p>
      <w:pPr>
        <w:pStyle w:val="ListBullet"/>
        <w:spacing w:after="40"/>
      </w:pPr>
      <w:r>
        <w:rPr>
          <w:rFonts w:ascii="Arial" w:hAnsi="Arial"/>
          <w:sz w:val="18"/>
        </w:rPr>
        <w:t>Keep the master CSV as the audit table: it shows every sample, all model ranks/scores, evidence basis, movement direction, and Model 3 pup/+15-year fields.</w:t>
      </w:r>
    </w:p>
    <w:p>
      <w:pPr>
        <w:spacing w:before="120" w:after="0"/>
      </w:pPr>
      <w:r>
        <w:rPr>
          <w:rFonts w:ascii="Arial" w:hAnsi="Arial"/>
          <w:color w:val="555555"/>
          <w:sz w:val="16"/>
        </w:rPr>
        <w:t>Source: attached Model 1, Model 2, and Model 3 workbooks in the Kona Biopsy Age Rankings folder. No database records or raw data were modified for this comparison.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