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pacing w:val="200"/>
          <w:sz w:val="28"/>
          <w:szCs w:val="28"/>
        </w:rPr>
        <w:t xml:space="preserve">MANAGE AI</w:t>
      </w:r>
    </w:p>
    <w:p>
      <w:pPr>
        <w:pBdr>
          <w:bottom w:val="single" w:color="2E75B6" w:sz="6" w:space="12"/>
        </w:pBdr>
        <w:spacing w:after="100"/>
        <w:jc w:val="center"/>
      </w:pPr>
    </w:p>
    <w:p>
      <w:pPr>
        <w:spacing w:after="120" w:before="400"/>
        <w:jc w:val="center"/>
      </w:pPr>
      <w:r>
        <w:rPr>
          <w:rFonts w:ascii="Arial" w:cs="Arial" w:eastAsia="Arial" w:hAnsi="Arial"/>
          <w:b/>
          <w:bCs/>
          <w:color w:val="1B3A5C"/>
          <w:sz w:val="48"/>
          <w:szCs w:val="48"/>
        </w:rPr>
        <w:t xml:space="preserve">Process Map</w:t>
      </w:r>
    </w:p>
    <w:p>
      <w:pPr>
        <w:spacing w:after="200"/>
        <w:jc w:val="center"/>
      </w:pPr>
      <w:r>
        <w:rPr>
          <w:rFonts w:ascii="Arial" w:cs="Arial" w:eastAsia="Arial" w:hAnsi="Arial"/>
          <w:color w:val="2E75B6"/>
          <w:sz w:val="28"/>
          <w:szCs w:val="28"/>
        </w:rPr>
        <w:t xml:space="preserve">Guide</w:t>
      </w:r>
    </w:p>
    <w:p>
      <w:pPr>
        <w:spacing w:after="100" w:before="400"/>
        <w:jc w:val="center"/>
      </w:pPr>
      <w:r>
        <w:rPr>
          <w:rFonts w:ascii="Arial" w:cs="Arial" w:eastAsia="Arial" w:hAnsi="Arial"/>
          <w:color w:val="999999"/>
          <w:sz w:val="20"/>
          <w:szCs w:val="20"/>
        </w:rPr>
        <w:t xml:space="preserve">Companion Documents:</w:t>
      </w:r>
    </w:p>
    <w:p>
      <w:pPr>
        <w:jc w:val="center"/>
      </w:pPr>
      <w:r>
        <w:rPr>
          <w:rFonts w:ascii="Arial" w:cs="Arial" w:eastAsia="Arial" w:hAnsi="Arial"/>
          <w:i/>
          <w:iCs/>
          <w:color w:val="999999"/>
          <w:sz w:val="20"/>
          <w:szCs w:val="20"/>
        </w:rPr>
        <w:t xml:space="preserve">AITM Requirements Brief Guide  |  Prototype Brief Guide  |  Opportunity Definition Framework</w:t>
      </w:r>
    </w:p>
    <w:p>
      <w:pPr>
        <w:spacing w:before="1200"/>
        <w:jc w:val="center"/>
      </w:pPr>
      <w:r>
        <w:rPr>
          <w:rFonts w:ascii="Arial" w:cs="Arial" w:eastAsia="Arial" w:hAnsi="Arial"/>
          <w:color w:val="999999"/>
          <w:sz w:val="20"/>
          <w:szCs w:val="20"/>
        </w:rPr>
        <w:t xml:space="preserve">Internal Use  |  v1.0  |  March 2026</w:t>
      </w:r>
    </w:p>
    <w:p>
      <w:pPr>
        <w:sectPr>
          <w:pgSz w:w="12240" w:h="15840" w:orient="portrait"/>
          <w:pgMar w:top="1440" w:right="1440" w:bottom="1440" w:left="1440" w:header="708" w:footer="708" w:gutter="0"/>
          <w:pgNumType/>
          <w:docGrid w:linePitch="360"/>
        </w:sectPr>
      </w:pPr>
    </w:p>
    <w:p>
      <w:pPr>
        <w:pStyle w:val="Heading1"/>
      </w:pPr>
      <w:r>
        <w:t xml:space="preserve">Purpose of This Guide</w:t>
      </w:r>
    </w:p>
    <w:p>
      <w:pPr>
        <w:spacing w:after="200"/>
      </w:pPr>
      <w:r>
        <w:rPr>
          <w:rFonts w:ascii="Arial" w:cs="Arial" w:eastAsia="Arial" w:hAnsi="Arial"/>
          <w:sz w:val="22"/>
          <w:szCs w:val="22"/>
        </w:rPr>
        <w:t xml:space="preserve">The MAI Process Map is a structured visual representation of how work gets done today within a customer’s organization. It is one of the three primary outputs the CCA produces during Solution Alignment, and it feeds directly into the AITM Requirements Brief (Section 3: Current Reality &amp; Process and Section 6: [AITM Name] Workflow).</w:t>
      </w:r>
    </w:p>
    <w:p>
      <w:pPr>
        <w:spacing w:after="200"/>
      </w:pPr>
      <w:r>
        <w:rPr>
          <w:rFonts w:ascii="Arial" w:cs="Arial" w:eastAsia="Arial" w:hAnsi="Arial"/>
          <w:sz w:val="22"/>
          <w:szCs w:val="22"/>
        </w:rPr>
        <w:t xml:space="preserve">This guide defines the MAI 6-swimlane methodology, the content standards for each swimlane, and the rules for grounding map content in customer evidence. It also covers the JSON export format used to import maps into the MAI Process Mapper application.</w:t>
      </w:r>
    </w:p>
    <w:p>
      <w:pPr>
        <w:pBdr>
          <w:left w:val="single" w:color="2E75B6" w:sz="12" w:space="8"/>
        </w:pBdr>
        <w:spacing w:after="200" w:before="120"/>
        <w:ind w:left="360"/>
      </w:pPr>
      <w:r>
        <w:rPr>
          <w:rFonts w:ascii="Arial" w:cs="Arial" w:eastAsia="Arial" w:hAnsi="Arial"/>
          <w:i/>
          <w:iCs/>
          <w:color w:val="555555"/>
          <w:sz w:val="22"/>
          <w:szCs w:val="22"/>
        </w:rPr>
        <w:t xml:space="preserve">Core Philosophy: A process map captures reality, not aspiration. Map the process as it actually works today — the pain, the workarounds, the manual steps — not as the customer wishes it worked. The gap between today’s reality and the desired outcome is where the AITM lives.</w:t>
      </w:r>
    </w:p>
    <w:p>
      <w:pPr>
        <w:pStyle w:val="Heading1"/>
      </w:pPr>
      <w:r>
        <w:t xml:space="preserve">Where This Document Fits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Document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Relationship</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Flows In</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Flows 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Opportunity Assessment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Upstream: provides the starting context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Opportunity Themes, 2×2 scores, discovery context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Process Map Guide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This document</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MAI Process 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Primary output of following this guide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Alignment session transcripts, customer data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Opportunity Signals, Job Area summaries, challenge/outcome evidence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Requirements Brief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Downstream: consumes map outputs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 Job Area summary table + map link. §6: Workflow steps.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Prototype Brief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Parallel: informed by map context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Workflow context for “Context from Discovery” field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r>
    </w:tbl>
    <w:p>
      <w:r>
        <w:br w:type="page"/>
      </w:r>
    </w:p>
    <w:p>
      <w:pPr>
        <w:pStyle w:val="Heading1"/>
      </w:pPr>
      <w:r>
        <w:t xml:space="preserve">The MAI 6-Swimlane Methodology</w:t>
      </w:r>
    </w:p>
    <w:p>
      <w:pPr>
        <w:spacing w:after="200"/>
      </w:pPr>
      <w:r>
        <w:rPr>
          <w:rFonts w:ascii="Arial" w:cs="Arial" w:eastAsia="Arial" w:hAnsi="Arial"/>
          <w:sz w:val="22"/>
          <w:szCs w:val="22"/>
        </w:rPr>
        <w:t xml:space="preserve">Every MAI Process Map uses a consistent 6-swimlane structure. Each swimlane captures a different dimension of the workflow. Together, they give a complete picture of the current state: what happens, who does it, what tools are used, what the goal is, what’s broken, and where AI can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Swimlane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It Captures</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Content Standard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Job Area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 logical phase or functional group in the workflow. Each Job Area becomes a column in the Process Mapper. Think of it as a chapter in the process story.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Verb-noun phrase: “Feasibility Check”, “Data Extraction &amp; Aggregation”, “Call Ahead Execution.” 1-sentence description of the purpose. Aim for 3–7 Job Areas per map.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Job Step</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Individual actions within a Job Area. These are the sequential steps that people (or systems) perform. Decision points branch the flow.</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Start with a verb: “Extract daily trip records”, “Review Prototype Brief.” Keep names 3–8 words. Use decision type for branching (Yes/No, Pass/Fail). Detail goes in description, not the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System / Assets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 tools, software, documents, and resources used in this Job Area. Both current-state tools and proposed AI tools.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Proper names: “Bambi Dispatch Software”, not “dispatch software.” Include both current tools and proposed AITM/AI tools where relevant.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Desired Outcomes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 north-star outcome for this Job Area. What does “good” look like when this phase works perfectly?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Measurable when possible. Use customer’s own language from transcripts. 1–3 outcomes per Job Area.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Challenges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What’s hard, broken, or manual today. The pain that justifies the AITM’s existence.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Ground in transcript evidence. Include metrics: “~20% of trips have errors.” Quote customer language. 1–3 per Job Area. Don’t force challenges where none exist.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How AI Can Help</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Specific AI solutions paired to each challenge. Not generic “AI could help” — concrete actions.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Each challenge gets a paired solution. Reference specific AITM Skillsets where known. Be specific: “CCA cross-references past engagements to flag complexity”, not “AI analyzes data.”</w:t>
            </w:r>
          </w:p>
        </w:tc>
      </w:tr>
    </w:tbl>
    <w:p>
      <w:pPr>
        <w:spacing w:after="200"/>
      </w:pPr>
    </w:p>
    <w:p>
      <w:pPr>
        <w:pStyle w:val="Heading2"/>
      </w:pPr>
      <w:r>
        <w:t xml:space="preserve">Additional Swimlanes</w:t>
      </w:r>
    </w:p>
    <w:p>
      <w:pPr>
        <w:spacing w:after="200"/>
      </w:pPr>
      <w:r>
        <w:rPr>
          <w:rFonts w:ascii="Arial" w:cs="Arial" w:eastAsia="Arial" w:hAnsi="Arial"/>
          <w:sz w:val="22"/>
          <w:szCs w:val="22"/>
        </w:rPr>
        <w:t xml:space="preserve">Beyond the core 6 swimlanes, MAI process maps may include:</w:t>
      </w:r>
    </w:p>
    <w:p>
      <w:pPr>
        <w:pStyle w:val="ListParagraph"/>
        <w:numPr>
          <w:ilvl w:val="0"/>
          <w:numId w:val="2"/>
        </w:numPr>
        <w:spacing w:after="120"/>
      </w:pPr>
      <w:r>
        <w:rPr>
          <w:rFonts w:ascii="Arial" w:cs="Arial" w:eastAsia="Arial" w:hAnsi="Arial"/>
          <w:b/>
          <w:bCs/>
          <w:sz w:val="22"/>
          <w:szCs w:val="22"/>
        </w:rPr>
        <w:t xml:space="preserve">Human in the Loop: </w:t>
      </w:r>
      <w:r>
        <w:rPr>
          <w:rFonts w:ascii="Arial" w:cs="Arial" w:eastAsia="Arial" w:hAnsi="Arial"/>
          <w:sz w:val="22"/>
          <w:szCs w:val="22"/>
        </w:rPr>
        <w:t xml:space="preserve">Which steps require a human touchpoint? Mark every step where a person must review, approve, or intervene. This directly feeds the HTM column in the AITM Requirements Brief workflow table (§6).</w:t>
      </w:r>
    </w:p>
    <w:p>
      <w:pPr>
        <w:pStyle w:val="ListParagraph"/>
        <w:numPr>
          <w:ilvl w:val="0"/>
          <w:numId w:val="2"/>
        </w:numPr>
        <w:spacing w:after="120"/>
      </w:pPr>
      <w:r>
        <w:rPr>
          <w:rFonts w:ascii="Arial" w:cs="Arial" w:eastAsia="Arial" w:hAnsi="Arial"/>
          <w:b/>
          <w:bCs/>
          <w:sz w:val="22"/>
          <w:szCs w:val="22"/>
        </w:rPr>
        <w:t xml:space="preserve">Listen For (Opportunity Signals): </w:t>
      </w:r>
      <w:r>
        <w:rPr>
          <w:rFonts w:ascii="Arial" w:cs="Arial" w:eastAsia="Arial" w:hAnsi="Arial"/>
          <w:sz w:val="22"/>
          <w:szCs w:val="22"/>
        </w:rPr>
        <w:t xml:space="preserve">Specific observations at the Job Step level that indicate an AI opportunity. These are temporary artifacts — they get synthesized into formal Opportunities during Stage 4 (Signal Synthesis). Not every step has a signal.</w:t>
      </w:r>
    </w:p>
    <w:p>
      <w:r>
        <w:br w:type="page"/>
      </w:r>
    </w:p>
    <w:p>
      <w:pPr>
        <w:pStyle w:val="Heading1"/>
      </w:pPr>
      <w:r>
        <w:t xml:space="preserve">Process Map Structure</w:t>
      </w:r>
    </w:p>
    <w:p>
      <w:pPr>
        <w:spacing w:after="200"/>
      </w:pPr>
      <w:r>
        <w:rPr>
          <w:rFonts w:ascii="Arial" w:cs="Arial" w:eastAsia="Arial" w:hAnsi="Arial"/>
          <w:sz w:val="22"/>
          <w:szCs w:val="22"/>
        </w:rPr>
        <w:t xml:space="preserve">Each process map represents one end-to-end workflow, organized as follows:</w:t>
      </w:r>
    </w:p>
    <w:p>
      <w:pPr>
        <w:pStyle w:val="Heading2"/>
      </w:pPr>
      <w:r>
        <w:t xml:space="preserve">One Map Per Workflow</w:t>
      </w:r>
    </w:p>
    <w:p>
      <w:pPr>
        <w:spacing w:after="200"/>
      </w:pPr>
      <w:r>
        <w:rPr>
          <w:rFonts w:ascii="Arial" w:cs="Arial" w:eastAsia="Arial" w:hAnsi="Arial"/>
          <w:sz w:val="22"/>
          <w:szCs w:val="22"/>
        </w:rPr>
        <w:t xml:space="preserve">Never combine multiple unrelated workflows into one map. Each map has a clear trigger event and a measurable end state. If the Opportunity Assessment identified three Opportunity Themes, each Theme typically produces one process map during Stage 3.</w:t>
      </w:r>
    </w:p>
    <w:p>
      <w:pPr>
        <w:pStyle w:val="Heading2"/>
      </w:pPr>
      <w:r>
        <w:t xml:space="preserve">Job Area Organization</w:t>
      </w:r>
    </w:p>
    <w:p>
      <w:pPr>
        <w:pStyle w:val="ListParagraph"/>
        <w:numPr>
          <w:ilvl w:val="0"/>
          <w:numId w:val="3"/>
        </w:numPr>
        <w:spacing w:after="120"/>
      </w:pPr>
      <w:r>
        <w:rPr>
          <w:rFonts w:ascii="Arial" w:cs="Arial" w:eastAsia="Arial" w:hAnsi="Arial"/>
          <w:b/>
          <w:bCs/>
          <w:sz w:val="22"/>
          <w:szCs w:val="22"/>
        </w:rPr>
        <w:t xml:space="preserve">Columns: </w:t>
      </w:r>
      <w:r>
        <w:rPr>
          <w:rFonts w:ascii="Arial" w:cs="Arial" w:eastAsia="Arial" w:hAnsi="Arial"/>
          <w:sz w:val="22"/>
          <w:szCs w:val="22"/>
        </w:rPr>
        <w:t xml:space="preserve">Each Job Area is a column in the Process Mapper. Job Steps flow top-to-bottom within the column.</w:t>
      </w:r>
    </w:p>
    <w:p>
      <w:pPr>
        <w:pStyle w:val="ListParagraph"/>
        <w:numPr>
          <w:ilvl w:val="0"/>
          <w:numId w:val="3"/>
        </w:numPr>
        <w:spacing w:after="120"/>
      </w:pPr>
      <w:r>
        <w:rPr>
          <w:rFonts w:ascii="Arial" w:cs="Arial" w:eastAsia="Arial" w:hAnsi="Arial"/>
          <w:b/>
          <w:bCs/>
          <w:sz w:val="22"/>
          <w:szCs w:val="22"/>
        </w:rPr>
        <w:t xml:space="preserve">Left to right: </w:t>
      </w:r>
      <w:r>
        <w:rPr>
          <w:rFonts w:ascii="Arial" w:cs="Arial" w:eastAsia="Arial" w:hAnsi="Arial"/>
          <w:sz w:val="22"/>
          <w:szCs w:val="22"/>
        </w:rPr>
        <w:t xml:space="preserve">Job Areas are arranged in chronological order. The leftmost Job Area is the first phase; the rightmost is the final phase.</w:t>
      </w:r>
    </w:p>
    <w:p>
      <w:pPr>
        <w:pStyle w:val="ListParagraph"/>
        <w:numPr>
          <w:ilvl w:val="0"/>
          <w:numId w:val="3"/>
        </w:numPr>
        <w:spacing w:after="120"/>
      </w:pPr>
      <w:r>
        <w:rPr>
          <w:rFonts w:ascii="Arial" w:cs="Arial" w:eastAsia="Arial" w:hAnsi="Arial"/>
          <w:b/>
          <w:bCs/>
          <w:sz w:val="22"/>
          <w:szCs w:val="22"/>
        </w:rPr>
        <w:t xml:space="preserve">Count: </w:t>
      </w:r>
      <w:r>
        <w:rPr>
          <w:rFonts w:ascii="Arial" w:cs="Arial" w:eastAsia="Arial" w:hAnsi="Arial"/>
          <w:sz w:val="22"/>
          <w:szCs w:val="22"/>
        </w:rPr>
        <w:t xml:space="preserve">3–7 Job Areas per map. Fewer = too vague to be actionable. More = too granular to see the big picture.</w:t>
      </w:r>
    </w:p>
    <w:p>
      <w:pPr>
        <w:pStyle w:val="Heading2"/>
      </w:pPr>
      <w:r>
        <w:t xml:space="preserve">Decision Points</w:t>
      </w:r>
    </w:p>
    <w:p>
      <w:pPr>
        <w:spacing w:after="200"/>
      </w:pPr>
      <w:r>
        <w:rPr>
          <w:rFonts w:ascii="Arial" w:cs="Arial" w:eastAsia="Arial" w:hAnsi="Arial"/>
          <w:sz w:val="22"/>
          <w:szCs w:val="22"/>
        </w:rPr>
        <w:t xml:space="preserve">Decision steps branch the flow within a Job Area. Each decision has labeled branches (e.g., Yes/No, Pass/Fail, Sufficient/Insufficient) with next_step references pointing to the step that follows. Decisions with a null next_step indicate a dead end or exit from the process.</w:t>
      </w:r>
    </w:p>
    <w:p>
      <w:pPr>
        <w:pStyle w:val="Heading2"/>
      </w:pPr>
      <w:r>
        <w:t xml:space="preserve">Scope Boundary</w:t>
      </w:r>
    </w:p>
    <w:p>
      <w:pPr>
        <w:spacing w:after="200"/>
      </w:pPr>
      <w:r>
        <w:rPr>
          <w:rFonts w:ascii="Arial" w:cs="Arial" w:eastAsia="Arial" w:hAnsi="Arial"/>
          <w:sz w:val="22"/>
          <w:szCs w:val="22"/>
        </w:rPr>
        <w:t xml:space="preserve">The process map has a clear start and end. The start is typically the trigger event from the upstream handoff (e.g., “SE delivers Opportunity Assessment”). The end is the final deliverable or handoff point (e.g., “AITM Requirements Brief delivered to Brian”). If the customer describes steps outside the scope, note them but don’t map them — they belong to a different map.</w:t>
      </w:r>
    </w:p>
    <w:p>
      <w:pPr>
        <w:pStyle w:val="Heading1"/>
      </w:pPr>
      <w:r>
        <w:t xml:space="preserve">Gathering Source Material</w:t>
      </w:r>
    </w:p>
    <w:p>
      <w:pPr>
        <w:spacing w:after="200"/>
      </w:pPr>
      <w:r>
        <w:rPr>
          <w:rFonts w:ascii="Arial" w:cs="Arial" w:eastAsia="Arial" w:hAnsi="Arial"/>
          <w:sz w:val="22"/>
          <w:szCs w:val="22"/>
        </w:rPr>
        <w:t xml:space="preserve">A process map is only as good as the evidence it’s grounded in. Before mapping, gather everything available:</w:t>
      </w:r>
    </w:p>
    <w:p>
      <w:pPr>
        <w:pStyle w:val="Heading2"/>
      </w:pPr>
      <w:r>
        <w:t xml:space="preserve">Source Priority</w:t>
      </w:r>
    </w:p>
    <w:p>
      <w:pPr>
        <w:pStyle w:val="ListParagraph"/>
        <w:numPr>
          <w:ilvl w:val="0"/>
          <w:numId w:val="4"/>
        </w:numPr>
        <w:spacing w:after="120"/>
      </w:pPr>
      <w:r>
        <w:rPr>
          <w:rFonts w:ascii="Arial" w:cs="Arial" w:eastAsia="Arial" w:hAnsi="Arial"/>
          <w:b/>
          <w:bCs/>
          <w:sz w:val="22"/>
          <w:szCs w:val="22"/>
        </w:rPr>
        <w:t xml:space="preserve">Alignment session transcripts </w:t>
      </w:r>
      <w:r>
        <w:rPr>
          <w:rFonts w:ascii="Arial" w:cs="Arial" w:eastAsia="Arial" w:hAnsi="Arial"/>
          <w:sz w:val="22"/>
          <w:szCs w:val="22"/>
        </w:rPr>
        <w:t xml:space="preserve">— the richest source. The customer describes their process step by step, names tools, quantifies pain.</w:t>
      </w:r>
    </w:p>
    <w:p>
      <w:pPr>
        <w:pStyle w:val="ListParagraph"/>
        <w:numPr>
          <w:ilvl w:val="0"/>
          <w:numId w:val="4"/>
        </w:numPr>
        <w:spacing w:after="120"/>
      </w:pPr>
      <w:r>
        <w:rPr>
          <w:rFonts w:ascii="Arial" w:cs="Arial" w:eastAsia="Arial" w:hAnsi="Arial"/>
          <w:b/>
          <w:bCs/>
          <w:sz w:val="22"/>
          <w:szCs w:val="22"/>
        </w:rPr>
        <w:t xml:space="preserve">Discovery call transcripts </w:t>
      </w:r>
      <w:r>
        <w:rPr>
          <w:rFonts w:ascii="Arial" w:cs="Arial" w:eastAsia="Arial" w:hAnsi="Arial"/>
          <w:sz w:val="22"/>
          <w:szCs w:val="22"/>
        </w:rPr>
        <w:t xml:space="preserve">— earlier, broader context. May not have step-level detail but captures pain points and desired outcomes.</w:t>
      </w:r>
    </w:p>
    <w:p>
      <w:pPr>
        <w:pStyle w:val="ListParagraph"/>
        <w:numPr>
          <w:ilvl w:val="0"/>
          <w:numId w:val="4"/>
        </w:numPr>
        <w:spacing w:after="120"/>
      </w:pPr>
      <w:r>
        <w:rPr>
          <w:rFonts w:ascii="Arial" w:cs="Arial" w:eastAsia="Arial" w:hAnsi="Arial"/>
          <w:b/>
          <w:bCs/>
          <w:sz w:val="22"/>
          <w:szCs w:val="22"/>
        </w:rPr>
        <w:t xml:space="preserve">Uploaded proposals/decks </w:t>
      </w:r>
      <w:r>
        <w:rPr>
          <w:rFonts w:ascii="Arial" w:cs="Arial" w:eastAsia="Arial" w:hAnsi="Arial"/>
          <w:sz w:val="22"/>
          <w:szCs w:val="22"/>
        </w:rPr>
        <w:t xml:space="preserve">— the Opportunity Assessment output. Themes, objectives, and solution approaches.</w:t>
      </w:r>
    </w:p>
    <w:p>
      <w:pPr>
        <w:pStyle w:val="ListParagraph"/>
        <w:numPr>
          <w:ilvl w:val="0"/>
          <w:numId w:val="4"/>
        </w:numPr>
        <w:spacing w:after="120"/>
      </w:pPr>
      <w:r>
        <w:rPr>
          <w:rFonts w:ascii="Arial" w:cs="Arial" w:eastAsia="Arial" w:hAnsi="Arial"/>
          <w:b/>
          <w:bCs/>
          <w:sz w:val="22"/>
          <w:szCs w:val="22"/>
        </w:rPr>
        <w:t xml:space="preserve">Jarvis Knowledge Vault </w:t>
      </w:r>
      <w:r>
        <w:rPr>
          <w:rFonts w:ascii="Arial" w:cs="Arial" w:eastAsia="Arial" w:hAnsi="Arial"/>
          <w:sz w:val="22"/>
          <w:szCs w:val="22"/>
        </w:rPr>
        <w:t xml:space="preserve">— use jarvis_get_profile + jarvis_search_entities + jarvis_graph_query for existing customer intelligence.</w:t>
      </w:r>
    </w:p>
    <w:p>
      <w:pPr>
        <w:pStyle w:val="ListParagraph"/>
        <w:numPr>
          <w:ilvl w:val="0"/>
          <w:numId w:val="4"/>
        </w:numPr>
        <w:spacing w:after="120"/>
      </w:pPr>
      <w:r>
        <w:rPr>
          <w:rFonts w:ascii="Arial" w:cs="Arial" w:eastAsia="Arial" w:hAnsi="Arial"/>
          <w:b/>
          <w:bCs/>
          <w:sz w:val="22"/>
          <w:szCs w:val="22"/>
        </w:rPr>
        <w:t xml:space="preserve">Direct instructions from Dan </w:t>
      </w:r>
      <w:r>
        <w:rPr>
          <w:rFonts w:ascii="Arial" w:cs="Arial" w:eastAsia="Arial" w:hAnsi="Arial"/>
          <w:sz w:val="22"/>
          <w:szCs w:val="22"/>
        </w:rPr>
        <w:t xml:space="preserve">— anything stated in the conversation overrides transcript inference.</w:t>
      </w:r>
    </w:p>
    <w:p>
      <w:pPr>
        <w:pStyle w:val="Heading2"/>
      </w:pPr>
      <w:r>
        <w:t xml:space="preserve">Content Grounding Rules</w:t>
      </w:r>
    </w:p>
    <w:p>
      <w:pPr>
        <w:spacing w:after="200"/>
      </w:pPr>
      <w:r>
        <w:rPr>
          <w:rFonts w:ascii="Arial" w:cs="Arial" w:eastAsia="Arial" w:hAnsi="Arial"/>
          <w:sz w:val="22"/>
          <w:szCs w:val="22"/>
        </w:rPr>
        <w:t xml:space="preserve">These rules are non-negotiable:</w:t>
      </w:r>
    </w:p>
    <w:p>
      <w:pPr>
        <w:pStyle w:val="ListParagraph"/>
        <w:numPr>
          <w:ilvl w:val="0"/>
          <w:numId w:val="5"/>
        </w:numPr>
        <w:spacing w:after="120"/>
      </w:pPr>
      <w:r>
        <w:rPr>
          <w:rFonts w:ascii="Arial" w:cs="Arial" w:eastAsia="Arial" w:hAnsi="Arial"/>
          <w:b/>
          <w:bCs/>
          <w:sz w:val="22"/>
          <w:szCs w:val="22"/>
        </w:rPr>
        <w:t xml:space="preserve">Use customer language. </w:t>
      </w:r>
      <w:r>
        <w:rPr>
          <w:rFonts w:ascii="Arial" w:cs="Arial" w:eastAsia="Arial" w:hAnsi="Arial"/>
          <w:sz w:val="22"/>
          <w:szCs w:val="22"/>
        </w:rPr>
        <w:t xml:space="preserve">If they call it “Bambi”, don’t rename it to “dispatch software.” If they say “flashing red light,” use that phrase.</w:t>
      </w:r>
    </w:p>
    <w:p>
      <w:pPr>
        <w:pStyle w:val="ListParagraph"/>
        <w:numPr>
          <w:ilvl w:val="0"/>
          <w:numId w:val="5"/>
        </w:numPr>
        <w:spacing w:after="120"/>
      </w:pPr>
      <w:r>
        <w:rPr>
          <w:rFonts w:ascii="Arial" w:cs="Arial" w:eastAsia="Arial" w:hAnsi="Arial"/>
          <w:b/>
          <w:bCs/>
          <w:sz w:val="22"/>
          <w:szCs w:val="22"/>
        </w:rPr>
        <w:t xml:space="preserve">Be specific, not generic. </w:t>
      </w:r>
      <w:r>
        <w:rPr>
          <w:rFonts w:ascii="Arial" w:cs="Arial" w:eastAsia="Arial" w:hAnsi="Arial"/>
          <w:sz w:val="22"/>
          <w:szCs w:val="22"/>
        </w:rPr>
        <w:t xml:space="preserve">“~20% of trips have incorrect information” beats “data quality is a concern.”</w:t>
      </w:r>
    </w:p>
    <w:p>
      <w:pPr>
        <w:pStyle w:val="ListParagraph"/>
        <w:numPr>
          <w:ilvl w:val="0"/>
          <w:numId w:val="5"/>
        </w:numPr>
        <w:spacing w:after="120"/>
      </w:pPr>
      <w:r>
        <w:rPr>
          <w:rFonts w:ascii="Arial" w:cs="Arial" w:eastAsia="Arial" w:hAnsi="Arial"/>
          <w:b/>
          <w:bCs/>
          <w:sz w:val="22"/>
          <w:szCs w:val="22"/>
        </w:rPr>
        <w:t xml:space="preserve">Include metrics from transcripts. </w:t>
      </w:r>
      <w:r>
        <w:rPr>
          <w:rFonts w:ascii="Arial" w:cs="Arial" w:eastAsia="Arial" w:hAnsi="Arial"/>
          <w:sz w:val="22"/>
          <w:szCs w:val="22"/>
        </w:rPr>
        <w:t xml:space="preserve">Trip volumes (200–250/day), time estimates (5–10 min per call), error rates (20%), headcount — include these in challenges and descriptions.</w:t>
      </w:r>
    </w:p>
    <w:p>
      <w:pPr>
        <w:pStyle w:val="ListParagraph"/>
        <w:numPr>
          <w:ilvl w:val="0"/>
          <w:numId w:val="5"/>
        </w:numPr>
        <w:spacing w:after="120"/>
      </w:pPr>
      <w:r>
        <w:rPr>
          <w:rFonts w:ascii="Arial" w:cs="Arial" w:eastAsia="Arial" w:hAnsi="Arial"/>
          <w:b/>
          <w:bCs/>
          <w:sz w:val="22"/>
          <w:szCs w:val="22"/>
        </w:rPr>
        <w:t xml:space="preserve">Don’t invent pain points. </w:t>
      </w:r>
      <w:r>
        <w:rPr>
          <w:rFonts w:ascii="Arial" w:cs="Arial" w:eastAsia="Arial" w:hAnsi="Arial"/>
          <w:sz w:val="22"/>
          <w:szCs w:val="22"/>
        </w:rPr>
        <w:t xml:space="preserve">Only include challenges explicitly discussed or directly inferable from transcripts.</w:t>
      </w:r>
    </w:p>
    <w:p>
      <w:pPr>
        <w:pStyle w:val="ListParagraph"/>
        <w:numPr>
          <w:ilvl w:val="0"/>
          <w:numId w:val="5"/>
        </w:numPr>
        <w:spacing w:after="120"/>
      </w:pPr>
      <w:r>
        <w:rPr>
          <w:rFonts w:ascii="Arial" w:cs="Arial" w:eastAsia="Arial" w:hAnsi="Arial"/>
          <w:b/>
          <w:bCs/>
          <w:sz w:val="22"/>
          <w:szCs w:val="22"/>
        </w:rPr>
        <w:t xml:space="preserve">Don’t invent solutions. </w:t>
      </w:r>
      <w:r>
        <w:rPr>
          <w:rFonts w:ascii="Arial" w:cs="Arial" w:eastAsia="Arial" w:hAnsi="Arial"/>
          <w:sz w:val="22"/>
          <w:szCs w:val="22"/>
        </w:rPr>
        <w:t xml:space="preserve">Only include AI solutions that Manage AI has proposed or prototyped.</w:t>
      </w:r>
    </w:p>
    <w:p>
      <w:pPr>
        <w:pStyle w:val="ListParagraph"/>
        <w:numPr>
          <w:ilvl w:val="0"/>
          <w:numId w:val="5"/>
        </w:numPr>
        <w:spacing w:after="120"/>
      </w:pPr>
      <w:r>
        <w:rPr>
          <w:rFonts w:ascii="Arial" w:cs="Arial" w:eastAsia="Arial" w:hAnsi="Arial"/>
          <w:b/>
          <w:bCs/>
          <w:sz w:val="22"/>
          <w:szCs w:val="22"/>
        </w:rPr>
        <w:t xml:space="preserve">Flag thin evidence. </w:t>
      </w:r>
      <w:r>
        <w:rPr>
          <w:rFonts w:ascii="Arial" w:cs="Arial" w:eastAsia="Arial" w:hAnsi="Arial"/>
          <w:sz w:val="22"/>
          <w:szCs w:val="22"/>
        </w:rPr>
        <w:t xml:space="preserve">If a Job Area has limited transcript support, note it. Thin areas become agenda items for the next alignment session.</w:t>
      </w:r>
    </w:p>
    <w:p>
      <w:r>
        <w:br w:type="page"/>
      </w:r>
    </w:p>
    <w:p>
      <w:pPr>
        <w:pStyle w:val="Heading1"/>
      </w:pPr>
      <w:r>
        <w:t xml:space="preserve">The Mapping Process</w:t>
      </w:r>
    </w:p>
    <w:p>
      <w:pPr>
        <w:spacing w:after="200"/>
      </w:pPr>
      <w:r>
        <w:rPr>
          <w:rFonts w:ascii="Arial" w:cs="Arial" w:eastAsia="Arial" w:hAnsi="Arial"/>
          <w:sz w:val="22"/>
          <w:szCs w:val="22"/>
        </w:rPr>
        <w:t xml:space="preserve">Process mapping happens during Stage 3 (Process Map &amp; Prototyping) of Solution Alignment. Here’s the typical flow:</w:t>
      </w:r>
    </w:p>
    <w:p>
      <w:pPr>
        <w:pStyle w:val="ListParagraph"/>
        <w:numPr>
          <w:ilvl w:val="0"/>
          <w:numId w:val="6"/>
        </w:numPr>
        <w:spacing w:after="120"/>
      </w:pPr>
      <w:r>
        <w:rPr>
          <w:rFonts w:ascii="Arial" w:cs="Arial" w:eastAsia="Arial" w:hAnsi="Arial"/>
          <w:b/>
          <w:bCs/>
          <w:sz w:val="22"/>
          <w:szCs w:val="22"/>
        </w:rPr>
        <w:t xml:space="preserve">Dan runs the alignment session with the customer. </w:t>
      </w:r>
      <w:r>
        <w:rPr>
          <w:rFonts w:ascii="Arial" w:cs="Arial" w:eastAsia="Arial" w:hAnsi="Arial"/>
          <w:sz w:val="22"/>
          <w:szCs w:val="22"/>
        </w:rPr>
        <w:t xml:space="preserve">The CCA is not in the room — it works from the transcript after.</w:t>
      </w:r>
    </w:p>
    <w:p>
      <w:pPr>
        <w:pStyle w:val="ListParagraph"/>
        <w:numPr>
          <w:ilvl w:val="0"/>
          <w:numId w:val="6"/>
        </w:numPr>
        <w:spacing w:after="120"/>
      </w:pPr>
      <w:r>
        <w:rPr>
          <w:rFonts w:ascii="Arial" w:cs="Arial" w:eastAsia="Arial" w:hAnsi="Arial"/>
          <w:b/>
          <w:bCs/>
          <w:sz w:val="22"/>
          <w:szCs w:val="22"/>
        </w:rPr>
        <w:t xml:space="preserve">CCA reads the transcript and extracts the process. </w:t>
      </w:r>
      <w:r>
        <w:rPr>
          <w:rFonts w:ascii="Arial" w:cs="Arial" w:eastAsia="Arial" w:hAnsi="Arial"/>
          <w:sz w:val="22"/>
          <w:szCs w:val="22"/>
        </w:rPr>
        <w:t xml:space="preserve">Identify Job Areas, Job Steps, systems, outcomes, and challenges.</w:t>
      </w:r>
    </w:p>
    <w:p>
      <w:pPr>
        <w:pStyle w:val="ListParagraph"/>
        <w:numPr>
          <w:ilvl w:val="0"/>
          <w:numId w:val="6"/>
        </w:numPr>
        <w:spacing w:after="120"/>
      </w:pPr>
      <w:r>
        <w:rPr>
          <w:rFonts w:ascii="Arial" w:cs="Arial" w:eastAsia="Arial" w:hAnsi="Arial"/>
          <w:b/>
          <w:bCs/>
          <w:sz w:val="22"/>
          <w:szCs w:val="22"/>
        </w:rPr>
        <w:t xml:space="preserve">CCA builds the first draft of the map. </w:t>
      </w:r>
      <w:r>
        <w:rPr>
          <w:rFonts w:ascii="Arial" w:cs="Arial" w:eastAsia="Arial" w:hAnsi="Arial"/>
          <w:sz w:val="22"/>
          <w:szCs w:val="22"/>
        </w:rPr>
        <w:t xml:space="preserve">Using the Process Mapper JSON format (see JSON Export section below) or directly in the Process Mapper app.</w:t>
      </w:r>
    </w:p>
    <w:p>
      <w:pPr>
        <w:pStyle w:val="ListParagraph"/>
        <w:numPr>
          <w:ilvl w:val="0"/>
          <w:numId w:val="6"/>
        </w:numPr>
        <w:spacing w:after="120"/>
      </w:pPr>
      <w:r>
        <w:rPr>
          <w:rFonts w:ascii="Arial" w:cs="Arial" w:eastAsia="Arial" w:hAnsi="Arial"/>
          <w:b/>
          <w:bCs/>
          <w:sz w:val="22"/>
          <w:szCs w:val="22"/>
        </w:rPr>
        <w:t xml:space="preserve">CCA identifies gaps. </w:t>
      </w:r>
      <w:r>
        <w:rPr>
          <w:rFonts w:ascii="Arial" w:cs="Arial" w:eastAsia="Arial" w:hAnsi="Arial"/>
          <w:sz w:val="22"/>
          <w:szCs w:val="22"/>
        </w:rPr>
        <w:t xml:space="preserve">Where is transcript evidence thin? What steps are unclear? What decision points aren’t defined? These become the Gap Report.</w:t>
      </w:r>
    </w:p>
    <w:p>
      <w:pPr>
        <w:pStyle w:val="ListParagraph"/>
        <w:numPr>
          <w:ilvl w:val="0"/>
          <w:numId w:val="6"/>
        </w:numPr>
        <w:spacing w:after="120"/>
      </w:pPr>
      <w:r>
        <w:rPr>
          <w:rFonts w:ascii="Arial" w:cs="Arial" w:eastAsia="Arial" w:hAnsi="Arial"/>
          <w:b/>
          <w:bCs/>
          <w:sz w:val="22"/>
          <w:szCs w:val="22"/>
        </w:rPr>
        <w:t xml:space="preserve">CCA posts the map + Gap Report to the Customer Channel. </w:t>
      </w:r>
      <w:r>
        <w:rPr>
          <w:rFonts w:ascii="Arial" w:cs="Arial" w:eastAsia="Arial" w:hAnsi="Arial"/>
          <w:sz w:val="22"/>
          <w:szCs w:val="22"/>
        </w:rPr>
        <w:t xml:space="preserve">Tags Dan for review via the Feedback Loop.</w:t>
      </w:r>
    </w:p>
    <w:p>
      <w:pPr>
        <w:pStyle w:val="ListParagraph"/>
        <w:numPr>
          <w:ilvl w:val="0"/>
          <w:numId w:val="6"/>
        </w:numPr>
        <w:spacing w:after="120"/>
      </w:pPr>
      <w:r>
        <w:rPr>
          <w:rFonts w:ascii="Arial" w:cs="Arial" w:eastAsia="Arial" w:hAnsi="Arial"/>
          <w:b/>
          <w:bCs/>
          <w:sz w:val="22"/>
          <w:szCs w:val="22"/>
        </w:rPr>
        <w:t xml:space="preserve">Dan reviews and provides feedback. </w:t>
      </w:r>
      <w:r>
        <w:rPr>
          <w:rFonts w:ascii="Arial" w:cs="Arial" w:eastAsia="Arial" w:hAnsi="Arial"/>
          <w:sz w:val="22"/>
          <w:szCs w:val="22"/>
        </w:rPr>
        <w:t xml:space="preserve">May run another session to fill gaps.</w:t>
      </w:r>
    </w:p>
    <w:p>
      <w:pPr>
        <w:pStyle w:val="ListParagraph"/>
        <w:numPr>
          <w:ilvl w:val="0"/>
          <w:numId w:val="6"/>
        </w:numPr>
        <w:spacing w:after="120"/>
      </w:pPr>
      <w:r>
        <w:rPr>
          <w:rFonts w:ascii="Arial" w:cs="Arial" w:eastAsia="Arial" w:hAnsi="Arial"/>
          <w:b/>
          <w:bCs/>
          <w:sz w:val="22"/>
          <w:szCs w:val="22"/>
        </w:rPr>
        <w:t xml:space="preserve">CCA refines the map. </w:t>
      </w:r>
      <w:r>
        <w:rPr>
          <w:rFonts w:ascii="Arial" w:cs="Arial" w:eastAsia="Arial" w:hAnsi="Arial"/>
          <w:sz w:val="22"/>
          <w:szCs w:val="22"/>
        </w:rPr>
        <w:t xml:space="preserve">Repeat until the map is complete enough to support Signal Synthesis (Stage 4).</w:t>
      </w:r>
    </w:p>
    <w:p>
      <w:pPr>
        <w:pBdr>
          <w:left w:val="single" w:color="2E75B6" w:sz="12" w:space="8"/>
        </w:pBdr>
        <w:spacing w:after="200" w:before="120"/>
        <w:ind w:left="360"/>
      </w:pPr>
      <w:r>
        <w:rPr>
          <w:rFonts w:ascii="Arial" w:cs="Arial" w:eastAsia="Arial" w:hAnsi="Arial"/>
          <w:i/>
          <w:iCs/>
          <w:color w:val="555555"/>
          <w:sz w:val="22"/>
          <w:szCs w:val="22"/>
        </w:rPr>
        <w:t xml:space="preserve">Iteration is expected. A process map rarely comes out complete after one session. Plan for 2–3 passes: first pass captures the broad flow, second pass fills gaps and adds decision points, third pass validates with specific examples and metrics.</w:t>
      </w:r>
    </w:p>
    <w:p>
      <w:pPr>
        <w:pStyle w:val="Heading1"/>
      </w:pPr>
      <w:r>
        <w:t xml:space="preserve">Quality Standards</w:t>
      </w:r>
    </w:p>
    <w:p>
      <w:pPr>
        <w:spacing w:after="200"/>
      </w:pPr>
      <w:r>
        <w:rPr>
          <w:rFonts w:ascii="Arial" w:cs="Arial" w:eastAsia="Arial" w:hAnsi="Arial"/>
          <w:sz w:val="22"/>
          <w:szCs w:val="22"/>
        </w:rPr>
        <w:t xml:space="preserve">A process map is “review-ready” when it meets these criteria:</w:t>
      </w:r>
    </w:p>
    <w:p>
      <w:pPr>
        <w:pStyle w:val="ListParagraph"/>
        <w:numPr>
          <w:ilvl w:val="0"/>
          <w:numId w:val="7"/>
        </w:numPr>
        <w:spacing w:after="120"/>
      </w:pPr>
      <w:r>
        <w:rPr>
          <w:rFonts w:ascii="Arial" w:cs="Arial" w:eastAsia="Arial" w:hAnsi="Arial"/>
          <w:sz w:val="22"/>
          <w:szCs w:val="22"/>
        </w:rPr>
        <w:t xml:space="preserve">Every Job Area has at least 2 Job Steps (a single-step phase should be absorbed into an adjacent area).</w:t>
      </w:r>
    </w:p>
    <w:p>
      <w:pPr>
        <w:pStyle w:val="ListParagraph"/>
        <w:numPr>
          <w:ilvl w:val="0"/>
          <w:numId w:val="7"/>
        </w:numPr>
        <w:spacing w:after="120"/>
      </w:pPr>
      <w:r>
        <w:rPr>
          <w:rFonts w:ascii="Arial" w:cs="Arial" w:eastAsia="Arial" w:hAnsi="Arial"/>
          <w:sz w:val="22"/>
          <w:szCs w:val="22"/>
        </w:rPr>
        <w:t xml:space="preserve">Every Job Area has at least 1 challenge with a paired How AI Can Help (or an explicit note that no challenges were identified).</w:t>
      </w:r>
    </w:p>
    <w:p>
      <w:pPr>
        <w:pStyle w:val="ListParagraph"/>
        <w:numPr>
          <w:ilvl w:val="0"/>
          <w:numId w:val="7"/>
        </w:numPr>
        <w:spacing w:after="120"/>
      </w:pPr>
      <w:r>
        <w:rPr>
          <w:rFonts w:ascii="Arial" w:cs="Arial" w:eastAsia="Arial" w:hAnsi="Arial"/>
          <w:sz w:val="22"/>
          <w:szCs w:val="22"/>
        </w:rPr>
        <w:t xml:space="preserve">Every decision step has labeled branches with clear next_step references.</w:t>
      </w:r>
    </w:p>
    <w:p>
      <w:pPr>
        <w:pStyle w:val="ListParagraph"/>
        <w:numPr>
          <w:ilvl w:val="0"/>
          <w:numId w:val="7"/>
        </w:numPr>
        <w:spacing w:after="120"/>
      </w:pPr>
      <w:r>
        <w:rPr>
          <w:rFonts w:ascii="Arial" w:cs="Arial" w:eastAsia="Arial" w:hAnsi="Arial"/>
          <w:sz w:val="22"/>
          <w:szCs w:val="22"/>
        </w:rPr>
        <w:t xml:space="preserve">Systems/Assets are named specifically (proper product names, not generic categories).</w:t>
      </w:r>
    </w:p>
    <w:p>
      <w:pPr>
        <w:pStyle w:val="ListParagraph"/>
        <w:numPr>
          <w:ilvl w:val="0"/>
          <w:numId w:val="7"/>
        </w:numPr>
        <w:spacing w:after="120"/>
      </w:pPr>
      <w:r>
        <w:rPr>
          <w:rFonts w:ascii="Arial" w:cs="Arial" w:eastAsia="Arial" w:hAnsi="Arial"/>
          <w:sz w:val="22"/>
          <w:szCs w:val="22"/>
        </w:rPr>
        <w:t xml:space="preserve">Desired Outcomes use measurable language where possible.</w:t>
      </w:r>
    </w:p>
    <w:p>
      <w:pPr>
        <w:pStyle w:val="ListParagraph"/>
        <w:numPr>
          <w:ilvl w:val="0"/>
          <w:numId w:val="7"/>
        </w:numPr>
        <w:spacing w:after="120"/>
      </w:pPr>
      <w:r>
        <w:rPr>
          <w:rFonts w:ascii="Arial" w:cs="Arial" w:eastAsia="Arial" w:hAnsi="Arial"/>
          <w:sz w:val="22"/>
          <w:szCs w:val="22"/>
        </w:rPr>
        <w:t xml:space="preserve">Challenge descriptions include metrics or customer quotes from transcripts.</w:t>
      </w:r>
    </w:p>
    <w:p>
      <w:pPr>
        <w:pStyle w:val="ListParagraph"/>
        <w:numPr>
          <w:ilvl w:val="0"/>
          <w:numId w:val="7"/>
        </w:numPr>
        <w:spacing w:after="120"/>
      </w:pPr>
      <w:r>
        <w:rPr>
          <w:rFonts w:ascii="Arial" w:cs="Arial" w:eastAsia="Arial" w:hAnsi="Arial"/>
          <w:sz w:val="22"/>
          <w:szCs w:val="22"/>
        </w:rPr>
        <w:t xml:space="preserve">Human-in-the-loop steps are flagged.</w:t>
      </w:r>
    </w:p>
    <w:p>
      <w:pPr>
        <w:pStyle w:val="ListParagraph"/>
        <w:numPr>
          <w:ilvl w:val="0"/>
          <w:numId w:val="7"/>
        </w:numPr>
        <w:spacing w:after="120"/>
      </w:pPr>
      <w:r>
        <w:rPr>
          <w:rFonts w:ascii="Arial" w:cs="Arial" w:eastAsia="Arial" w:hAnsi="Arial"/>
          <w:sz w:val="22"/>
          <w:szCs w:val="22"/>
        </w:rPr>
        <w:t xml:space="preserve">Thin-evidence areas are noted for follow-up.</w:t>
      </w:r>
    </w:p>
    <w:p>
      <w:r>
        <w:br w:type="page"/>
      </w:r>
    </w:p>
    <w:p>
      <w:pPr>
        <w:pStyle w:val="Heading1"/>
      </w:pPr>
      <w:r>
        <w:t xml:space="preserve">How the Process Map Feeds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Map Element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Feeds Into</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How It’s 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 Areas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Brief §3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 Area names, challenges, desired outcomes, and deliverables become the summary table in Section 3: Current Reality &amp; Process.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 Steps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Brief §6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Steps become the basis for the AITM Workflow table. Human-in-the-loop flags transfer directly.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Challenges + How AI Helps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Brief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Challenge/solution pairs inform the Recommended Skillset Map. Each “How AI Helps” suggests a potential Skillset.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Opportunity Signals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Signal Synthesis (Stage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Signals from the “Listen For” swimlane are synthesized into formal Opportunities with Priority Scores.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Systems / Assets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Brief §5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Systems become the data sources and integrations table in Knowledge &amp;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Desired Outcomes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Brief §7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Outcomes inform Success Metrics and Acceptance Criteria — the gap between today’s challenges and desired outcomes is what the AITM must close.</w:t>
            </w:r>
          </w:p>
        </w:tc>
      </w:tr>
    </w:tbl>
    <w:p>
      <w:r>
        <w:br w:type="page"/>
      </w:r>
    </w:p>
    <w:p>
      <w:pPr>
        <w:pStyle w:val="Heading1"/>
      </w:pPr>
      <w:r>
        <w:t xml:space="preserve">JSON Export Format (Process Mapper Import)</w:t>
      </w:r>
    </w:p>
    <w:p>
      <w:pPr>
        <w:spacing w:after="200"/>
      </w:pPr>
      <w:r>
        <w:rPr>
          <w:rFonts w:ascii="Arial" w:cs="Arial" w:eastAsia="Arial" w:hAnsi="Arial"/>
          <w:sz w:val="22"/>
          <w:szCs w:val="22"/>
        </w:rPr>
        <w:t xml:space="preserve">The MAI Process Mapper application accepts JSON imports that conform to the ProcessMapImport schema. The CCA (or Jarvis) can generate these JSON files from transcript analysis, then upload them via “Start Over → Upload JSON” in the Process Mapper.</w:t>
      </w:r>
    </w:p>
    <w:p>
      <w:pPr>
        <w:pStyle w:val="Heading2"/>
      </w:pPr>
      <w:r>
        <w:t xml:space="preserve">Top-Level Structure</w:t>
      </w:r>
    </w:p>
    <w:p>
      <w:pPr>
        <w:spacing w:after="200"/>
      </w:pPr>
      <w:r>
        <w:rPr>
          <w:rFonts w:ascii="Arial" w:cs="Arial" w:eastAsia="Arial" w:hAnsi="Arial"/>
          <w:sz w:val="22"/>
          <w:szCs w:val="22"/>
        </w:rPr>
        <w:t xml:space="preserve">Each JSON file = one process map = one end-to-end workflow:</w:t>
      </w:r>
    </w:p>
    <w:p>
      <w:pPr>
        <w:pStyle w:val="ListParagraph"/>
        <w:numPr>
          <w:ilvl w:val="0"/>
          <w:numId w:val="8"/>
        </w:numPr>
        <w:spacing w:after="120"/>
      </w:pPr>
      <w:r>
        <w:rPr>
          <w:rFonts w:ascii="Arial" w:cs="Arial" w:eastAsia="Arial" w:hAnsi="Arial"/>
          <w:b/>
          <w:bCs/>
          <w:sz w:val="22"/>
          <w:szCs w:val="22"/>
        </w:rPr>
        <w:t xml:space="preserve">title: </w:t>
      </w:r>
      <w:r>
        <w:rPr>
          <w:rFonts w:ascii="Arial" w:cs="Arial" w:eastAsia="Arial" w:hAnsi="Arial"/>
          <w:sz w:val="22"/>
          <w:szCs w:val="22"/>
        </w:rPr>
        <w:t xml:space="preserve">Process area name (e.g., “Agent Discovery &amp; Scoping”).</w:t>
      </w:r>
    </w:p>
    <w:p>
      <w:pPr>
        <w:pStyle w:val="ListParagraph"/>
        <w:numPr>
          <w:ilvl w:val="0"/>
          <w:numId w:val="8"/>
        </w:numPr>
        <w:spacing w:after="120"/>
      </w:pPr>
      <w:r>
        <w:rPr>
          <w:rFonts w:ascii="Arial" w:cs="Arial" w:eastAsia="Arial" w:hAnsi="Arial"/>
          <w:b/>
          <w:bCs/>
          <w:sz w:val="22"/>
          <w:szCs w:val="22"/>
        </w:rPr>
        <w:t xml:space="preserve">customer_name: </w:t>
      </w:r>
      <w:r>
        <w:rPr>
          <w:rFonts w:ascii="Arial" w:cs="Arial" w:eastAsia="Arial" w:hAnsi="Arial"/>
          <w:sz w:val="22"/>
          <w:szCs w:val="22"/>
        </w:rPr>
        <w:t xml:space="preserve">Company name.</w:t>
      </w:r>
    </w:p>
    <w:p>
      <w:pPr>
        <w:pStyle w:val="ListParagraph"/>
        <w:numPr>
          <w:ilvl w:val="0"/>
          <w:numId w:val="8"/>
        </w:numPr>
        <w:spacing w:after="120"/>
      </w:pPr>
      <w:r>
        <w:rPr>
          <w:rFonts w:ascii="Arial" w:cs="Arial" w:eastAsia="Arial" w:hAnsi="Arial"/>
          <w:b/>
          <w:bCs/>
          <w:sz w:val="22"/>
          <w:szCs w:val="22"/>
        </w:rPr>
        <w:t xml:space="preserve">description: </w:t>
      </w:r>
      <w:r>
        <w:rPr>
          <w:rFonts w:ascii="Arial" w:cs="Arial" w:eastAsia="Arial" w:hAnsi="Arial"/>
          <w:sz w:val="22"/>
          <w:szCs w:val="22"/>
        </w:rPr>
        <w:t xml:space="preserve">Optional 1–2 sentence summary.</w:t>
      </w:r>
    </w:p>
    <w:p>
      <w:pPr>
        <w:pStyle w:val="ListParagraph"/>
        <w:numPr>
          <w:ilvl w:val="0"/>
          <w:numId w:val="8"/>
        </w:numPr>
        <w:spacing w:after="120"/>
      </w:pPr>
      <w:r>
        <w:rPr>
          <w:rFonts w:ascii="Arial" w:cs="Arial" w:eastAsia="Arial" w:hAnsi="Arial"/>
          <w:b/>
          <w:bCs/>
          <w:sz w:val="22"/>
          <w:szCs w:val="22"/>
        </w:rPr>
        <w:t xml:space="preserve">job_areas: </w:t>
      </w:r>
      <w:r>
        <w:rPr>
          <w:rFonts w:ascii="Arial" w:cs="Arial" w:eastAsia="Arial" w:hAnsi="Arial"/>
          <w:sz w:val="22"/>
          <w:szCs w:val="22"/>
        </w:rPr>
        <w:t xml:space="preserve">Array of Job Area objects (the columns).</w:t>
      </w:r>
    </w:p>
    <w:p>
      <w:pPr>
        <w:pStyle w:val="Heading2"/>
      </w:pPr>
      <w:r>
        <w:t xml:space="preserve">Job Area Object</w:t>
      </w:r>
    </w:p>
    <w:p>
      <w:pPr>
        <w:pStyle w:val="ListParagraph"/>
        <w:numPr>
          <w:ilvl w:val="0"/>
          <w:numId w:val="9"/>
        </w:numPr>
        <w:spacing w:after="120"/>
      </w:pPr>
      <w:r>
        <w:rPr>
          <w:rFonts w:ascii="Arial" w:cs="Arial" w:eastAsia="Arial" w:hAnsi="Arial"/>
          <w:b/>
          <w:bCs/>
          <w:sz w:val="22"/>
          <w:szCs w:val="22"/>
        </w:rPr>
        <w:t xml:space="preserve">name: </w:t>
      </w:r>
      <w:r>
        <w:rPr>
          <w:rFonts w:ascii="Arial" w:cs="Arial" w:eastAsia="Arial" w:hAnsi="Arial"/>
          <w:sz w:val="22"/>
          <w:szCs w:val="22"/>
        </w:rPr>
        <w:t xml:space="preserve">Short, verb-first label.</w:t>
      </w:r>
    </w:p>
    <w:p>
      <w:pPr>
        <w:pStyle w:val="ListParagraph"/>
        <w:numPr>
          <w:ilvl w:val="0"/>
          <w:numId w:val="9"/>
        </w:numPr>
        <w:spacing w:after="120"/>
      </w:pPr>
      <w:r>
        <w:rPr>
          <w:rFonts w:ascii="Arial" w:cs="Arial" w:eastAsia="Arial" w:hAnsi="Arial"/>
          <w:b/>
          <w:bCs/>
          <w:sz w:val="22"/>
          <w:szCs w:val="22"/>
        </w:rPr>
        <w:t xml:space="preserve">description: </w:t>
      </w:r>
      <w:r>
        <w:rPr>
          <w:rFonts w:ascii="Arial" w:cs="Arial" w:eastAsia="Arial" w:hAnsi="Arial"/>
          <w:sz w:val="22"/>
          <w:szCs w:val="22"/>
        </w:rPr>
        <w:t xml:space="preserve">1-sentence purpose statement.</w:t>
      </w:r>
    </w:p>
    <w:p>
      <w:pPr>
        <w:pStyle w:val="ListParagraph"/>
        <w:numPr>
          <w:ilvl w:val="0"/>
          <w:numId w:val="9"/>
        </w:numPr>
        <w:spacing w:after="120"/>
      </w:pPr>
      <w:r>
        <w:rPr>
          <w:rFonts w:ascii="Arial" w:cs="Arial" w:eastAsia="Arial" w:hAnsi="Arial"/>
          <w:b/>
          <w:bCs/>
          <w:sz w:val="22"/>
          <w:szCs w:val="22"/>
        </w:rPr>
        <w:t xml:space="preserve">job_steps: </w:t>
      </w:r>
      <w:r>
        <w:rPr>
          <w:rFonts w:ascii="Arial" w:cs="Arial" w:eastAsia="Arial" w:hAnsi="Arial"/>
          <w:sz w:val="22"/>
          <w:szCs w:val="22"/>
        </w:rPr>
        <w:t xml:space="preserve">Array of Job Step objects (the rows within the column).</w:t>
      </w:r>
    </w:p>
    <w:p>
      <w:pPr>
        <w:pStyle w:val="ListParagraph"/>
        <w:numPr>
          <w:ilvl w:val="0"/>
          <w:numId w:val="9"/>
        </w:numPr>
        <w:spacing w:after="120"/>
      </w:pPr>
      <w:r>
        <w:rPr>
          <w:rFonts w:ascii="Arial" w:cs="Arial" w:eastAsia="Arial" w:hAnsi="Arial"/>
          <w:b/>
          <w:bCs/>
          <w:sz w:val="22"/>
          <w:szCs w:val="22"/>
        </w:rPr>
        <w:t xml:space="preserve">systems_assets: </w:t>
      </w:r>
      <w:r>
        <w:rPr>
          <w:rFonts w:ascii="Arial" w:cs="Arial" w:eastAsia="Arial" w:hAnsi="Arial"/>
          <w:sz w:val="22"/>
          <w:szCs w:val="22"/>
        </w:rPr>
        <w:t xml:space="preserve">Flat string array — NOT objects. Proper tool/system names.</w:t>
      </w:r>
    </w:p>
    <w:p>
      <w:pPr>
        <w:pStyle w:val="ListParagraph"/>
        <w:numPr>
          <w:ilvl w:val="0"/>
          <w:numId w:val="9"/>
        </w:numPr>
        <w:spacing w:after="120"/>
      </w:pPr>
      <w:r>
        <w:rPr>
          <w:rFonts w:ascii="Arial" w:cs="Arial" w:eastAsia="Arial" w:hAnsi="Arial"/>
          <w:b/>
          <w:bCs/>
          <w:sz w:val="22"/>
          <w:szCs w:val="22"/>
        </w:rPr>
        <w:t xml:space="preserve">desired_outcomes: </w:t>
      </w:r>
      <w:r>
        <w:rPr>
          <w:rFonts w:ascii="Arial" w:cs="Arial" w:eastAsia="Arial" w:hAnsi="Arial"/>
          <w:sz w:val="22"/>
          <w:szCs w:val="22"/>
        </w:rPr>
        <w:t xml:space="preserve">Flat string array — NOT objects. Measurable north-star outcomes.</w:t>
      </w:r>
    </w:p>
    <w:p>
      <w:pPr>
        <w:pStyle w:val="ListParagraph"/>
        <w:numPr>
          <w:ilvl w:val="0"/>
          <w:numId w:val="9"/>
        </w:numPr>
        <w:spacing w:after="120"/>
      </w:pPr>
      <w:r>
        <w:rPr>
          <w:rFonts w:ascii="Arial" w:cs="Arial" w:eastAsia="Arial" w:hAnsi="Arial"/>
          <w:b/>
          <w:bCs/>
          <w:sz w:val="22"/>
          <w:szCs w:val="22"/>
        </w:rPr>
        <w:t xml:space="preserve">challenges: </w:t>
      </w:r>
      <w:r>
        <w:rPr>
          <w:rFonts w:ascii="Arial" w:cs="Arial" w:eastAsia="Arial" w:hAnsi="Arial"/>
          <w:sz w:val="22"/>
          <w:szCs w:val="22"/>
        </w:rPr>
        <w:t xml:space="preserve">Array of objects, each with “challenge” (what’s broken) and “how_ai_helps” (specific AI solution).</w:t>
      </w:r>
    </w:p>
    <w:p>
      <w:pPr>
        <w:pStyle w:val="Heading2"/>
      </w:pPr>
      <w:r>
        <w:t xml:space="preserve">Job Step Object</w:t>
      </w:r>
    </w:p>
    <w:p>
      <w:pPr>
        <w:pStyle w:val="ListParagraph"/>
        <w:numPr>
          <w:ilvl w:val="0"/>
          <w:numId w:val="10"/>
        </w:numPr>
        <w:spacing w:after="120"/>
      </w:pPr>
      <w:r>
        <w:rPr>
          <w:rFonts w:ascii="Arial" w:cs="Arial" w:eastAsia="Arial" w:hAnsi="Arial"/>
          <w:b/>
          <w:bCs/>
          <w:sz w:val="22"/>
          <w:szCs w:val="22"/>
        </w:rPr>
        <w:t xml:space="preserve">name: </w:t>
      </w:r>
      <w:r>
        <w:rPr>
          <w:rFonts w:ascii="Arial" w:cs="Arial" w:eastAsia="Arial" w:hAnsi="Arial"/>
          <w:sz w:val="22"/>
          <w:szCs w:val="22"/>
        </w:rPr>
        <w:t xml:space="preserve">Verb-first, 3–8 words. Detail goes in description.</w:t>
      </w:r>
    </w:p>
    <w:p>
      <w:pPr>
        <w:pStyle w:val="ListParagraph"/>
        <w:numPr>
          <w:ilvl w:val="0"/>
          <w:numId w:val="10"/>
        </w:numPr>
        <w:spacing w:after="120"/>
      </w:pPr>
      <w:r>
        <w:rPr>
          <w:rFonts w:ascii="Arial" w:cs="Arial" w:eastAsia="Arial" w:hAnsi="Arial"/>
          <w:b/>
          <w:bCs/>
          <w:sz w:val="22"/>
          <w:szCs w:val="22"/>
        </w:rPr>
        <w:t xml:space="preserve">description: </w:t>
      </w:r>
      <w:r>
        <w:rPr>
          <w:rFonts w:ascii="Arial" w:cs="Arial" w:eastAsia="Arial" w:hAnsi="Arial"/>
          <w:sz w:val="22"/>
          <w:szCs w:val="22"/>
        </w:rPr>
        <w:t xml:space="preserve">Optional additional detail.</w:t>
      </w:r>
    </w:p>
    <w:p>
      <w:pPr>
        <w:pStyle w:val="ListParagraph"/>
        <w:numPr>
          <w:ilvl w:val="0"/>
          <w:numId w:val="10"/>
        </w:numPr>
        <w:spacing w:after="120"/>
      </w:pPr>
      <w:r>
        <w:rPr>
          <w:rFonts w:ascii="Arial" w:cs="Arial" w:eastAsia="Arial" w:hAnsi="Arial"/>
          <w:b/>
          <w:bCs/>
          <w:sz w:val="22"/>
          <w:szCs w:val="22"/>
        </w:rPr>
        <w:t xml:space="preserve">type: </w:t>
      </w:r>
      <w:r>
        <w:rPr>
          <w:rFonts w:ascii="Arial" w:cs="Arial" w:eastAsia="Arial" w:hAnsi="Arial"/>
          <w:sz w:val="22"/>
          <w:szCs w:val="22"/>
        </w:rPr>
        <w:t xml:space="preserve">“step” (normal) or “decision” (branching). Decision steps MUST have a branches array.</w:t>
      </w:r>
    </w:p>
    <w:p>
      <w:pPr>
        <w:pStyle w:val="ListParagraph"/>
        <w:numPr>
          <w:ilvl w:val="0"/>
          <w:numId w:val="10"/>
        </w:numPr>
        <w:spacing w:after="120"/>
      </w:pPr>
      <w:r>
        <w:rPr>
          <w:rFonts w:ascii="Arial" w:cs="Arial" w:eastAsia="Arial" w:hAnsi="Arial"/>
          <w:b/>
          <w:bCs/>
          <w:sz w:val="22"/>
          <w:szCs w:val="22"/>
        </w:rPr>
        <w:t xml:space="preserve">branches: </w:t>
      </w:r>
      <w:r>
        <w:rPr>
          <w:rFonts w:ascii="Arial" w:cs="Arial" w:eastAsia="Arial" w:hAnsi="Arial"/>
          <w:sz w:val="22"/>
          <w:szCs w:val="22"/>
        </w:rPr>
        <w:t xml:space="preserve">Only for decisions. Array of {label, next_step} objects. next_step references the name of another step in the SAME Job Area, or null for dead ends.</w:t>
      </w:r>
    </w:p>
    <w:p>
      <w:pPr>
        <w:pStyle w:val="Heading2"/>
      </w:pPr>
      <w:r>
        <w:t xml:space="preserve">Naming Convention</w:t>
      </w:r>
    </w:p>
    <w:p>
      <w:pPr>
        <w:spacing w:after="200"/>
      </w:pPr>
      <w:r>
        <w:rPr>
          <w:rFonts w:ascii="Arial" w:cs="Arial" w:eastAsia="Arial" w:hAnsi="Arial"/>
          <w:sz w:val="22"/>
          <w:szCs w:val="22"/>
        </w:rPr>
        <w:t xml:space="preserve">JSON files follow the pattern: {customer_slug}_{process_slug}.json — e.g., sunstate_volume_monitoring_alerts.json, cornerstone_proposal_drafting.json.</w:t>
      </w:r>
    </w:p>
    <w:p>
      <w:pPr>
        <w:pStyle w:val="Heading2"/>
      </w:pPr>
      <w:r>
        <w:t xml:space="preserve">Validation</w:t>
      </w:r>
    </w:p>
    <w:p>
      <w:pPr>
        <w:spacing w:after="200"/>
      </w:pPr>
      <w:r>
        <w:rPr>
          <w:rFonts w:ascii="Arial" w:cs="Arial" w:eastAsia="Arial" w:hAnsi="Arial"/>
          <w:sz w:val="22"/>
          <w:szCs w:val="22"/>
        </w:rPr>
        <w:t xml:space="preserve">Every JSON file must pass the validation script before being presented. The validation checks: all required fields present, decision steps have branches, systems_assets and desired_outcomes are flat string arrays, and challenges have both “challenge” and “how_ai_helps” fields. Zero errors = valid.</w:t>
      </w:r>
    </w:p>
    <w:p>
      <w:pPr>
        <w:pStyle w:val="Heading1"/>
      </w:pPr>
      <w:r>
        <w:t xml:space="preserve">Knowledge Graph Alignment</w:t>
      </w:r>
    </w:p>
    <w:p>
      <w:pPr>
        <w:spacing w:after="200"/>
      </w:pPr>
      <w:r>
        <w:rPr>
          <w:rFonts w:ascii="Arial" w:cs="Arial" w:eastAsia="Arial" w:hAnsi="Arial"/>
          <w:sz w:val="22"/>
          <w:szCs w:val="22"/>
        </w:rPr>
        <w:t xml:space="preserve">The Process Mapper swimlanes align 1:1 with the Jarvis Knowledge Vault’s 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Knowledge Graph Entity</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Process Mapper Field</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Process Area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title (top level)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One graph node = one process map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 Area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job_areas[].name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One graph node = one column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 Step</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job_areas[].job_steps[].name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One graph node = one step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System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job_areas[].systems_assets[]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Flat string reference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Desired Outcome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job_areas[].desired_outcomes[]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Flat string reference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Challenge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job_areas[].challenges[].challenge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Paired with how_ai_helps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Opportunity / How AI Helps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job_areas[].challenges[].how_ai_helps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 bridge from pain to solution</w:t>
            </w:r>
          </w:p>
        </w:tc>
      </w:tr>
    </w:tbl>
    <w:p>
      <w:r>
        <w:br w:type="page"/>
      </w:r>
    </w:p>
    <w:p>
      <w:pPr>
        <w:pStyle w:val="Heading1"/>
      </w:pPr>
      <w:r>
        <w:t xml:space="preserve">Anti-Patterns</w:t>
      </w:r>
    </w:p>
    <w:p>
      <w:pPr>
        <w:spacing w:after="200"/>
      </w:pPr>
      <w:r>
        <w:rPr>
          <w:rFonts w:ascii="Arial" w:cs="Arial" w:eastAsia="Arial" w:hAnsi="Arial"/>
          <w:sz w:val="22"/>
          <w:szCs w:val="22"/>
        </w:rPr>
        <w:t xml:space="preserve">Common mistakes to avoid:</w:t>
      </w:r>
    </w:p>
    <w:p>
      <w:pPr>
        <w:pStyle w:val="ListParagraph"/>
        <w:numPr>
          <w:ilvl w:val="0"/>
          <w:numId w:val="11"/>
        </w:numPr>
        <w:spacing w:after="120"/>
      </w:pPr>
      <w:r>
        <w:rPr>
          <w:rFonts w:ascii="Arial" w:cs="Arial" w:eastAsia="Arial" w:hAnsi="Arial"/>
          <w:b/>
          <w:bCs/>
          <w:sz w:val="22"/>
          <w:szCs w:val="22"/>
        </w:rPr>
        <w:t xml:space="preserve">Generic challenges. </w:t>
      </w:r>
      <w:r>
        <w:rPr>
          <w:rFonts w:ascii="Arial" w:cs="Arial" w:eastAsia="Arial" w:hAnsi="Arial"/>
          <w:sz w:val="22"/>
          <w:szCs w:val="22"/>
        </w:rPr>
        <w:t xml:space="preserve">“Data quality could be improved” is useless. Use specific evidence: “~20% of trips contain errors requiring manual rework.”</w:t>
      </w:r>
    </w:p>
    <w:p>
      <w:pPr>
        <w:pStyle w:val="ListParagraph"/>
        <w:numPr>
          <w:ilvl w:val="0"/>
          <w:numId w:val="11"/>
        </w:numPr>
        <w:spacing w:after="120"/>
      </w:pPr>
      <w:r>
        <w:rPr>
          <w:rFonts w:ascii="Arial" w:cs="Arial" w:eastAsia="Arial" w:hAnsi="Arial"/>
          <w:b/>
          <w:bCs/>
          <w:sz w:val="22"/>
          <w:szCs w:val="22"/>
        </w:rPr>
        <w:t xml:space="preserve">Inventing customer quotes. </w:t>
      </w:r>
      <w:r>
        <w:rPr>
          <w:rFonts w:ascii="Arial" w:cs="Arial" w:eastAsia="Arial" w:hAnsi="Arial"/>
          <w:sz w:val="22"/>
          <w:szCs w:val="22"/>
        </w:rPr>
        <w:t xml:space="preserve">Don’t fabricate what the customer said. If transcript evidence is thin, say so.</w:t>
      </w:r>
    </w:p>
    <w:p>
      <w:pPr>
        <w:pStyle w:val="ListParagraph"/>
        <w:numPr>
          <w:ilvl w:val="0"/>
          <w:numId w:val="11"/>
        </w:numPr>
        <w:spacing w:after="120"/>
      </w:pPr>
      <w:r>
        <w:rPr>
          <w:rFonts w:ascii="Arial" w:cs="Arial" w:eastAsia="Arial" w:hAnsi="Arial"/>
          <w:b/>
          <w:bCs/>
          <w:sz w:val="22"/>
          <w:szCs w:val="22"/>
        </w:rPr>
        <w:t xml:space="preserve">Mapping aspirational process. </w:t>
      </w:r>
      <w:r>
        <w:rPr>
          <w:rFonts w:ascii="Arial" w:cs="Arial" w:eastAsia="Arial" w:hAnsi="Arial"/>
          <w:sz w:val="22"/>
          <w:szCs w:val="22"/>
        </w:rPr>
        <w:t xml:space="preserve">Map today’s reality. The AITM workflow (how it SHOULD work) goes in AITM Brief §6, not here.</w:t>
      </w:r>
    </w:p>
    <w:p>
      <w:pPr>
        <w:pStyle w:val="ListParagraph"/>
        <w:numPr>
          <w:ilvl w:val="0"/>
          <w:numId w:val="11"/>
        </w:numPr>
        <w:spacing w:after="120"/>
      </w:pPr>
      <w:r>
        <w:rPr>
          <w:rFonts w:ascii="Arial" w:cs="Arial" w:eastAsia="Arial" w:hAnsi="Arial"/>
          <w:b/>
          <w:bCs/>
          <w:sz w:val="22"/>
          <w:szCs w:val="22"/>
        </w:rPr>
        <w:t xml:space="preserve">Too many Job Areas. </w:t>
      </w:r>
      <w:r>
        <w:rPr>
          <w:rFonts w:ascii="Arial" w:cs="Arial" w:eastAsia="Arial" w:hAnsi="Arial"/>
          <w:sz w:val="22"/>
          <w:szCs w:val="22"/>
        </w:rPr>
        <w:t xml:space="preserve">More than 7 means the scope is too broad or the granularity is too fine. Consolidate.</w:t>
      </w:r>
    </w:p>
    <w:p>
      <w:pPr>
        <w:pStyle w:val="ListParagraph"/>
        <w:numPr>
          <w:ilvl w:val="0"/>
          <w:numId w:val="11"/>
        </w:numPr>
        <w:spacing w:after="120"/>
      </w:pPr>
      <w:r>
        <w:rPr>
          <w:rFonts w:ascii="Arial" w:cs="Arial" w:eastAsia="Arial" w:hAnsi="Arial"/>
          <w:b/>
          <w:bCs/>
          <w:sz w:val="22"/>
          <w:szCs w:val="22"/>
        </w:rPr>
        <w:t xml:space="preserve">Single-step Job Areas. </w:t>
      </w:r>
      <w:r>
        <w:rPr>
          <w:rFonts w:ascii="Arial" w:cs="Arial" w:eastAsia="Arial" w:hAnsi="Arial"/>
          <w:sz w:val="22"/>
          <w:szCs w:val="22"/>
        </w:rPr>
        <w:t xml:space="preserve">A Job Area with one step should be absorbed into an adjacent area.</w:t>
      </w:r>
    </w:p>
    <w:p>
      <w:pPr>
        <w:pStyle w:val="ListParagraph"/>
        <w:numPr>
          <w:ilvl w:val="0"/>
          <w:numId w:val="11"/>
        </w:numPr>
        <w:spacing w:after="120"/>
      </w:pPr>
      <w:r>
        <w:rPr>
          <w:rFonts w:ascii="Arial" w:cs="Arial" w:eastAsia="Arial" w:hAnsi="Arial"/>
          <w:b/>
          <w:bCs/>
          <w:sz w:val="22"/>
          <w:szCs w:val="22"/>
        </w:rPr>
        <w:t xml:space="preserve">Missing decision branches. </w:t>
      </w:r>
      <w:r>
        <w:rPr>
          <w:rFonts w:ascii="Arial" w:cs="Arial" w:eastAsia="Arial" w:hAnsi="Arial"/>
          <w:sz w:val="22"/>
          <w:szCs w:val="22"/>
        </w:rPr>
        <w:t xml:space="preserve">Every decision step MUST have labeled branches. A decision without branches is just a step.</w:t>
      </w:r>
    </w:p>
    <w:p>
      <w:pPr>
        <w:pStyle w:val="ListParagraph"/>
        <w:numPr>
          <w:ilvl w:val="0"/>
          <w:numId w:val="11"/>
        </w:numPr>
        <w:spacing w:after="120"/>
      </w:pPr>
      <w:r>
        <w:rPr>
          <w:rFonts w:ascii="Arial" w:cs="Arial" w:eastAsia="Arial" w:hAnsi="Arial"/>
          <w:b/>
          <w:bCs/>
          <w:sz w:val="22"/>
          <w:szCs w:val="22"/>
        </w:rPr>
        <w:t xml:space="preserve">Objects in string arrays. </w:t>
      </w:r>
      <w:r>
        <w:rPr>
          <w:rFonts w:ascii="Arial" w:cs="Arial" w:eastAsia="Arial" w:hAnsi="Arial"/>
          <w:sz w:val="22"/>
          <w:szCs w:val="22"/>
        </w:rPr>
        <w:t xml:space="preserve">systems_assets and desired_outcomes are flat string arrays, NOT objects.</w:t>
      </w:r>
    </w:p>
    <w:p>
      <w:pPr>
        <w:pStyle w:val="Heading1"/>
      </w:pPr>
      <w:r>
        <w:t xml:space="preserve">Companion Documents</w:t>
      </w:r>
    </w:p>
    <w:p>
      <w:pPr>
        <w:pStyle w:val="ListParagraph"/>
        <w:numPr>
          <w:ilvl w:val="0"/>
          <w:numId w:val="12"/>
        </w:numPr>
        <w:spacing w:after="120"/>
      </w:pPr>
      <w:r>
        <w:rPr>
          <w:rFonts w:ascii="Arial" w:cs="Arial" w:eastAsia="Arial" w:hAnsi="Arial"/>
          <w:b/>
          <w:bCs/>
          <w:sz w:val="22"/>
          <w:szCs w:val="22"/>
        </w:rPr>
        <w:t xml:space="preserve">AITM Requirements Brief Guide: </w:t>
      </w:r>
      <w:r>
        <w:rPr>
          <w:rFonts w:ascii="Arial" w:cs="Arial" w:eastAsia="Arial" w:hAnsi="Arial"/>
          <w:sz w:val="22"/>
          <w:szCs w:val="22"/>
        </w:rPr>
        <w:t xml:space="preserve">The process map feeds Sections 3, 5, 6, and 7 of the AITM Requirements Brief.</w:t>
      </w:r>
    </w:p>
    <w:p>
      <w:pPr>
        <w:pStyle w:val="ListParagraph"/>
        <w:numPr>
          <w:ilvl w:val="0"/>
          <w:numId w:val="12"/>
        </w:numPr>
        <w:spacing w:after="120"/>
      </w:pPr>
      <w:r>
        <w:rPr>
          <w:rFonts w:ascii="Arial" w:cs="Arial" w:eastAsia="Arial" w:hAnsi="Arial"/>
          <w:b/>
          <w:bCs/>
          <w:sz w:val="22"/>
          <w:szCs w:val="22"/>
        </w:rPr>
        <w:t xml:space="preserve">Prototype Brief Guide: </w:t>
      </w:r>
      <w:r>
        <w:rPr>
          <w:rFonts w:ascii="Arial" w:cs="Arial" w:eastAsia="Arial" w:hAnsi="Arial"/>
          <w:sz w:val="22"/>
          <w:szCs w:val="22"/>
        </w:rPr>
        <w:t xml:space="preserve">Process map context informs the “Context from Discovery” field in the Prototype Brief.</w:t>
      </w:r>
    </w:p>
    <w:p>
      <w:pPr>
        <w:pStyle w:val="ListParagraph"/>
        <w:numPr>
          <w:ilvl w:val="0"/>
          <w:numId w:val="12"/>
        </w:numPr>
        <w:spacing w:after="120"/>
      </w:pPr>
      <w:r>
        <w:rPr>
          <w:rFonts w:ascii="Arial" w:cs="Arial" w:eastAsia="Arial" w:hAnsi="Arial"/>
          <w:b/>
          <w:bCs/>
          <w:sz w:val="22"/>
          <w:szCs w:val="22"/>
        </w:rPr>
        <w:t xml:space="preserve">Opportunity Definition Framework: </w:t>
      </w:r>
      <w:r>
        <w:rPr>
          <w:rFonts w:ascii="Arial" w:cs="Arial" w:eastAsia="Arial" w:hAnsi="Arial"/>
          <w:sz w:val="22"/>
          <w:szCs w:val="22"/>
        </w:rPr>
        <w:t xml:space="preserve">Opportunity Signals captured during mapping feed into Signal Synthesis (Stage 4) to produce formal Opportunities.</w:t>
      </w:r>
    </w:p>
    <w:p>
      <w:pPr>
        <w:pStyle w:val="ListParagraph"/>
        <w:numPr>
          <w:ilvl w:val="0"/>
          <w:numId w:val="12"/>
        </w:numPr>
        <w:spacing w:after="120"/>
      </w:pPr>
      <w:r>
        <w:rPr>
          <w:rFonts w:ascii="Arial" w:cs="Arial" w:eastAsia="Arial" w:hAnsi="Arial"/>
          <w:b/>
          <w:bCs/>
          <w:sz w:val="22"/>
          <w:szCs w:val="22"/>
        </w:rPr>
        <w:t xml:space="preserve">Skillset Definition: </w:t>
      </w:r>
      <w:r>
        <w:rPr>
          <w:rFonts w:ascii="Arial" w:cs="Arial" w:eastAsia="Arial" w:hAnsi="Arial"/>
          <w:sz w:val="22"/>
          <w:szCs w:val="22"/>
        </w:rPr>
        <w:t xml:space="preserve">Challenge/solution pairs from the map suggest Skillset boundaries for the Recommended Skillset Map.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Manage AI  |  Process Map Guide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2"/>
    <w:lvlOverride w:ilvl="0">
      <w:startOverride w:val="1"/>
    </w:lvlOverride>
  </w:num>
  <w:num w:numId="5">
    <w:abstractNumId w:val="4"/>
    <w:lvlOverride w:ilvl="0">
      <w:startOverride w:val="1"/>
    </w:lvlOverride>
  </w:num>
  <w:num w:numId="6">
    <w:abstractNumId w:val="43"/>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2026-03-28T23:27:30.992Z</dcterms:created>
  <dcterms:modified xsi:type="dcterms:W3CDTF">2026-03-28T23:27:30.993Z</dcterms:modified>
</cp:coreProperties>
</file>

<file path=docProps/custom.xml><?xml version="1.0" encoding="utf-8"?>
<Properties xmlns="http://schemas.openxmlformats.org/officeDocument/2006/custom-properties" xmlns:vt="http://schemas.openxmlformats.org/officeDocument/2006/docPropsVTypes"/>
</file>