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pacing w:val="200"/>
          <w:sz w:val="28"/>
          <w:szCs w:val="28"/>
        </w:rPr>
        <w:t xml:space="preserve">MANAGE AI</w:t>
      </w:r>
    </w:p>
    <w:p>
      <w:pPr>
        <w:pBdr>
          <w:bottom w:val="single" w:color="2E75B6" w:sz="6" w:space="12"/>
        </w:pBdr>
        <w:spacing w:after="100"/>
        <w:jc w:val="center"/>
      </w:pPr>
    </w:p>
    <w:p>
      <w:pPr>
        <w:spacing w:after="120" w:before="400"/>
        <w:jc w:val="center"/>
      </w:pPr>
      <w:r>
        <w:rPr>
          <w:rFonts w:ascii="Arial" w:cs="Arial" w:eastAsia="Arial" w:hAnsi="Arial"/>
          <w:b/>
          <w:bCs/>
          <w:color w:val="1B3A5C"/>
          <w:sz w:val="48"/>
          <w:szCs w:val="48"/>
        </w:rPr>
        <w:t xml:space="preserve">Prototype Brief</w:t>
      </w:r>
    </w:p>
    <w:p>
      <w:pPr>
        <w:spacing w:after="200"/>
        <w:jc w:val="center"/>
      </w:pPr>
      <w:r>
        <w:rPr>
          <w:rFonts w:ascii="Arial" w:cs="Arial" w:eastAsia="Arial" w:hAnsi="Arial"/>
          <w:color w:val="2E75B6"/>
          <w:sz w:val="28"/>
          <w:szCs w:val="28"/>
        </w:rPr>
        <w:t xml:space="preserve">Guide</w:t>
      </w:r>
    </w:p>
    <w:p>
      <w:pPr>
        <w:spacing w:after="100" w:before="400"/>
        <w:jc w:val="center"/>
      </w:pPr>
      <w:r>
        <w:rPr>
          <w:rFonts w:ascii="Arial" w:cs="Arial" w:eastAsia="Arial" w:hAnsi="Arial"/>
          <w:color w:val="999999"/>
          <w:sz w:val="20"/>
          <w:szCs w:val="20"/>
        </w:rPr>
        <w:t xml:space="preserve">Companion Documents:</w:t>
      </w:r>
    </w:p>
    <w:p>
      <w:pPr>
        <w:jc w:val="center"/>
      </w:pPr>
      <w:r>
        <w:rPr>
          <w:rFonts w:ascii="Arial" w:cs="Arial" w:eastAsia="Arial" w:hAnsi="Arial"/>
          <w:i/>
          <w:iCs/>
          <w:color w:val="999999"/>
          <w:sz w:val="20"/>
          <w:szCs w:val="20"/>
        </w:rPr>
        <w:t xml:space="preserve">AITM Requirements Brief Guide  |  Opportunity Definition Framework  |  Process Map Guide</w:t>
      </w:r>
    </w:p>
    <w:p>
      <w:pPr>
        <w:spacing w:before="1200"/>
        <w:jc w:val="center"/>
      </w:pPr>
      <w:r>
        <w:rPr>
          <w:rFonts w:ascii="Arial" w:cs="Arial" w:eastAsia="Arial" w:hAnsi="Arial"/>
          <w:color w:val="999999"/>
          <w:sz w:val="20"/>
          <w:szCs w:val="20"/>
        </w:rPr>
        <w:t xml:space="preserve">Internal Use  |  v1.0  |  March 2026</w:t>
      </w:r>
    </w:p>
    <w:p>
      <w:pPr>
        <w:sectPr>
          <w:pgSz w:w="12240" w:h="15840" w:orient="portrait"/>
          <w:pgMar w:top="1440" w:right="1440" w:bottom="1440" w:left="1440" w:header="708" w:footer="708" w:gutter="0"/>
          <w:pgNumType/>
          <w:docGrid w:linePitch="360"/>
        </w:sectPr>
      </w:pPr>
    </w:p>
    <w:p>
      <w:pPr>
        <w:pStyle w:val="Heading1"/>
      </w:pPr>
      <w:r>
        <w:t xml:space="preserve">Purpose of This Guide</w:t>
      </w:r>
    </w:p>
    <w:p>
      <w:pPr>
        <w:spacing w:after="200"/>
      </w:pPr>
      <w:r>
        <w:rPr>
          <w:rFonts w:ascii="Arial" w:cs="Arial" w:eastAsia="Arial" w:hAnsi="Arial"/>
          <w:sz w:val="22"/>
          <w:szCs w:val="22"/>
        </w:rPr>
        <w:t xml:space="preserve">The Prototype Brief is a lightweight scoping document that gives Brian’s engineering team just enough context to build a working prototype the customer can react to. It is deliberately less rigorous than the AITM Requirements Brief — prototypes are meant to surface requirements, not satisfy them.</w:t>
      </w:r>
    </w:p>
    <w:p>
      <w:pPr>
        <w:spacing w:after="200"/>
      </w:pPr>
      <w:r>
        <w:rPr>
          <w:rFonts w:ascii="Arial" w:cs="Arial" w:eastAsia="Arial" w:hAnsi="Arial"/>
          <w:sz w:val="22"/>
          <w:szCs w:val="22"/>
        </w:rPr>
        <w:t xml:space="preserve">A Prototype Brief can be produced as early as after the first discovery call. It captures what we know now, acknowledges what we don’t, and focuses Brian on building the single thing that will generate the most useful customer reaction.</w:t>
      </w:r>
    </w:p>
    <w:p>
      <w:pPr>
        <w:pBdr>
          <w:left w:val="single" w:color="2E75B6" w:sz="12" w:space="8"/>
        </w:pBdr>
        <w:spacing w:after="200" w:before="120"/>
        <w:ind w:left="360"/>
      </w:pPr>
      <w:r>
        <w:rPr>
          <w:rFonts w:ascii="Arial" w:cs="Arial" w:eastAsia="Arial" w:hAnsi="Arial"/>
          <w:i/>
          <w:iCs/>
          <w:color w:val="555555"/>
          <w:sz w:val="22"/>
          <w:szCs w:val="22"/>
        </w:rPr>
        <w:t xml:space="preserve">Core Philosophy: A prototype demonstrates three things and nothing more: (1) a core AITM Skillset works, (2) a key integration is feasible, and (3) the output is realistic enough for the customer to react to. If the team spends more than 3–5 days, it’s becoming a build. Stop and ship what you have.</w:t>
      </w:r>
    </w:p>
    <w:p>
      <w:pPr>
        <w:pStyle w:val="Heading2"/>
      </w:pPr>
      <w:r>
        <w:t xml:space="preserve">How the Prototype Brief Relates to Other Documents</w:t>
      </w:r>
    </w:p>
    <w:p>
      <w:pPr>
        <w:spacing w:after="200"/>
      </w:pPr>
      <w:r>
        <w:rPr>
          <w:rFonts w:ascii="Arial" w:cs="Arial" w:eastAsia="Arial" w:hAnsi="Arial"/>
          <w:sz w:val="22"/>
          <w:szCs w:val="22"/>
        </w:rPr>
        <w:t xml:space="preserve">The Prototype Brief is a stepping stone toward the AITM Requirements Brief, not a replacement for it. Information captured in the Brief flows forward:</w:t>
      </w:r>
    </w:p>
    <w:p>
      <w:pPr>
        <w:pStyle w:val="ListParagraph"/>
        <w:numPr>
          <w:ilvl w:val="0"/>
          <w:numId w:val="2"/>
        </w:numPr>
        <w:spacing w:after="120"/>
      </w:pPr>
      <w:r>
        <w:rPr>
          <w:rFonts w:ascii="Arial" w:cs="Arial" w:eastAsia="Arial" w:hAnsi="Arial"/>
          <w:b/>
          <w:bCs/>
          <w:sz w:val="22"/>
          <w:szCs w:val="22"/>
        </w:rPr>
        <w:t xml:space="preserve">Before Process Mapping: </w:t>
      </w:r>
      <w:r>
        <w:rPr>
          <w:rFonts w:ascii="Arial" w:cs="Arial" w:eastAsia="Arial" w:hAnsi="Arial"/>
          <w:sz w:val="22"/>
          <w:szCs w:val="22"/>
        </w:rPr>
        <w:t xml:space="preserve">The Prototype Brief may be the only scoping artifact. It captures enough to build a rough proof-of-concept from discovery conversation context alone.</w:t>
      </w:r>
    </w:p>
    <w:p>
      <w:pPr>
        <w:pStyle w:val="ListParagraph"/>
        <w:numPr>
          <w:ilvl w:val="0"/>
          <w:numId w:val="2"/>
        </w:numPr>
        <w:spacing w:after="120"/>
      </w:pPr>
      <w:r>
        <w:rPr>
          <w:rFonts w:ascii="Arial" w:cs="Arial" w:eastAsia="Arial" w:hAnsi="Arial"/>
          <w:b/>
          <w:bCs/>
          <w:sz w:val="22"/>
          <w:szCs w:val="22"/>
        </w:rPr>
        <w:t xml:space="preserve">During Process Mapping: </w:t>
      </w:r>
      <w:r>
        <w:rPr>
          <w:rFonts w:ascii="Arial" w:cs="Arial" w:eastAsia="Arial" w:hAnsi="Arial"/>
          <w:sz w:val="22"/>
          <w:szCs w:val="22"/>
        </w:rPr>
        <w:t xml:space="preserve">Prototype Briefs get more detailed as alignment work deepens the team’s understanding of the workflow.</w:t>
      </w:r>
    </w:p>
    <w:p>
      <w:pPr>
        <w:pStyle w:val="ListParagraph"/>
        <w:numPr>
          <w:ilvl w:val="0"/>
          <w:numId w:val="2"/>
        </w:numPr>
        <w:spacing w:after="120"/>
      </w:pPr>
      <w:r>
        <w:rPr>
          <w:rFonts w:ascii="Arial" w:cs="Arial" w:eastAsia="Arial" w:hAnsi="Arial"/>
          <w:b/>
          <w:bCs/>
          <w:sz w:val="22"/>
          <w:szCs w:val="22"/>
        </w:rPr>
        <w:t xml:space="preserve">After Prototyping: </w:t>
      </w:r>
      <w:r>
        <w:rPr>
          <w:rFonts w:ascii="Arial" w:cs="Arial" w:eastAsia="Arial" w:hAnsi="Arial"/>
          <w:sz w:val="22"/>
          <w:szCs w:val="22"/>
        </w:rPr>
        <w:t xml:space="preserve">Customer feedback on the prototype feeds directly into the AITM Requirements Brief. What the customer reacted to, what surprised them, what was missing — this is the gold that no intake form can capture.</w:t>
      </w:r>
    </w:p>
    <w:p>
      <w:pPr>
        <w:pBdr>
          <w:left w:val="single" w:color="2E75B6" w:sz="12" w:space="8"/>
        </w:pBdr>
        <w:spacing w:after="200" w:before="120"/>
        <w:ind w:left="360"/>
      </w:pPr>
      <w:r>
        <w:rPr>
          <w:rFonts w:ascii="Arial" w:cs="Arial" w:eastAsia="Arial" w:hAnsi="Arial"/>
          <w:i/>
          <w:iCs/>
          <w:color w:val="555555"/>
          <w:sz w:val="22"/>
          <w:szCs w:val="22"/>
        </w:rPr>
        <w:t xml:space="preserve">The Prototype Brief is NOT a subset of the AITM Requirements Brief. It’s a purpose-built artifact for a different goal. The Brief drives alignment (“what do we need to build?”). The Prototype Brief drives validation (“are we on the right track?”).</w:t>
      </w:r>
    </w:p>
    <w:p>
      <w:r>
        <w:br w:type="page"/>
      </w:r>
    </w:p>
    <w:p>
      <w:pPr>
        <w:pStyle w:val="Heading1"/>
      </w:pPr>
      <w:r>
        <w:t xml:space="preserve">Prototype Brief Structure</w:t>
      </w:r>
    </w:p>
    <w:p>
      <w:pPr>
        <w:spacing w:after="200"/>
      </w:pPr>
      <w:r>
        <w:rPr>
          <w:rFonts w:ascii="Arial" w:cs="Arial" w:eastAsia="Arial" w:hAnsi="Arial"/>
          <w:sz w:val="22"/>
          <w:szCs w:val="22"/>
        </w:rPr>
        <w:t xml:space="preserve">The Prototype Brief is a one-page document with two sections: a header table (what we’re testing) and a context section (what Brian needs to build it).</w:t>
      </w:r>
    </w:p>
    <w:p>
      <w:pPr>
        <w:pStyle w:val="Heading2"/>
      </w:pPr>
      <w:r>
        <w:t xml:space="preserve">Section A: What We’re Testing</w:t>
      </w:r>
    </w:p>
    <w:p>
      <w:pPr>
        <w:spacing w:after="200"/>
      </w:pPr>
      <w:r>
        <w:rPr>
          <w:rFonts w:ascii="Arial" w:cs="Arial" w:eastAsia="Arial" w:hAnsi="Arial"/>
          <w:sz w:val="22"/>
          <w:szCs w:val="22"/>
        </w:rPr>
        <w:t xml:space="preserve">These five fields define the scope of the prototype. If any field can’t be filled, the prototype isn’t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to Capture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AITM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Working name for the AITM being prototyped. Doesn’t need to be final.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Customer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Company 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Core Skillset Being Tested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The single primary thing this prototype demonstrates. ONE capability only. If you’re trying to test two things, split into two prototypes.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Key Integration Being Validated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The primary system connection the prototype proves is feasible. ONE integration only. If no integration is needed, state “None — standalone capability.”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What the Customer Should React 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The specific output or behavior we want feedback on. Be precise: “draft proposal quality” is better than “the prototype.” This is what we show the customer and ask “what do you think?”</w:t>
            </w:r>
          </w:p>
        </w:tc>
      </w:tr>
    </w:tbl>
    <w:p>
      <w:pPr>
        <w:spacing w:after="200"/>
      </w:pPr>
    </w:p>
    <w:p>
      <w:pPr>
        <w:pStyle w:val="Heading2"/>
      </w:pPr>
      <w:r>
        <w:t xml:space="preserve">Section B: Context for the Build</w:t>
      </w:r>
    </w:p>
    <w:p>
      <w:pPr>
        <w:spacing w:after="200"/>
      </w:pPr>
      <w:r>
        <w:rPr>
          <w:rFonts w:ascii="Arial" w:cs="Arial" w:eastAsia="Arial" w:hAnsi="Arial"/>
          <w:sz w:val="22"/>
          <w:szCs w:val="22"/>
        </w:rPr>
        <w:t xml:space="preserve">These fields give Brian enough context to build the prototype. Not all fields will be complete — that’s expected. Use [UNKNOWN] for anything not yet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to Capture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Context from Discovery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Narrative summary: what we know about the process, the pain points, the customer’s language, and any quality references or constraints mentioned. This can come from a single discovery call — it doesn’t need to be comprehensive.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Available Data / Samples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List of actual customer data, documents, or sample files that Brian can use. If none available, state what dummy data Brian should create and what real data we’re working to obtain.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Quality Reference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An example the customer considers “good.” A past output, a template, a high-quality sample. If none exists, state [UNKNOWN — prototype will establish baseline].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Known Constraints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System access restrictions, data sensitivity, formatting requirements, anything that limits what Brian can build.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Open Questions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1–3 unresolved items that DON’T block the prototype but should be explored during the customer review. These become the seeds for deeper Alignment.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Reviewer + Timeline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Who will review the prototype (the workflow owner, not a manager) and when. Target: review within 1 week of brief handoff.</w:t>
            </w:r>
          </w:p>
        </w:tc>
      </w:tr>
    </w:tbl>
    <w:p>
      <w:pPr>
        <w:spacing w:after="200"/>
      </w:pPr>
    </w:p>
    <w:p>
      <w:pPr>
        <w:pStyle w:val="Heading1"/>
      </w:pPr>
      <w:r>
        <w:t xml:space="preserve">Prototype Constraints</w:t>
      </w:r>
    </w:p>
    <w:p>
      <w:pPr>
        <w:spacing w:after="200"/>
      </w:pPr>
      <w:r>
        <w:rPr>
          <w:rFonts w:ascii="Arial" w:cs="Arial" w:eastAsia="Arial" w:hAnsi="Arial"/>
          <w:sz w:val="22"/>
          <w:szCs w:val="22"/>
        </w:rPr>
        <w:t xml:space="preserve">These are hard rules. If violated, the prototype is overscoped.</w:t>
      </w:r>
    </w:p>
    <w:p>
      <w:pPr>
        <w:pStyle w:val="ListParagraph"/>
        <w:numPr>
          <w:ilvl w:val="0"/>
          <w:numId w:val="3"/>
        </w:numPr>
        <w:spacing w:after="120"/>
      </w:pPr>
      <w:r>
        <w:rPr>
          <w:rFonts w:ascii="Arial" w:cs="Arial" w:eastAsia="Arial" w:hAnsi="Arial"/>
          <w:b/>
          <w:bCs/>
          <w:sz w:val="22"/>
          <w:szCs w:val="22"/>
        </w:rPr>
        <w:t xml:space="preserve">ONE core capability. </w:t>
      </w:r>
      <w:r>
        <w:rPr>
          <w:rFonts w:ascii="Arial" w:cs="Arial" w:eastAsia="Arial" w:hAnsi="Arial"/>
          <w:sz w:val="22"/>
          <w:szCs w:val="22"/>
        </w:rPr>
        <w:t xml:space="preserve">If Section A lists two capabilities being tested, the brief is overscoped. Split it.</w:t>
      </w:r>
    </w:p>
    <w:p>
      <w:pPr>
        <w:pStyle w:val="ListParagraph"/>
        <w:numPr>
          <w:ilvl w:val="0"/>
          <w:numId w:val="3"/>
        </w:numPr>
        <w:spacing w:after="120"/>
      </w:pPr>
      <w:r>
        <w:rPr>
          <w:rFonts w:ascii="Arial" w:cs="Arial" w:eastAsia="Arial" w:hAnsi="Arial"/>
          <w:b/>
          <w:bCs/>
          <w:sz w:val="22"/>
          <w:szCs w:val="22"/>
        </w:rPr>
        <w:t xml:space="preserve">ONE primary integration. </w:t>
      </w:r>
      <w:r>
        <w:rPr>
          <w:rFonts w:ascii="Arial" w:cs="Arial" w:eastAsia="Arial" w:hAnsi="Arial"/>
          <w:sz w:val="22"/>
          <w:szCs w:val="22"/>
        </w:rPr>
        <w:t xml:space="preserve">If Section A lists two integrations being validated, pick the higher-risk one.</w:t>
      </w:r>
    </w:p>
    <w:p>
      <w:pPr>
        <w:pStyle w:val="ListParagraph"/>
        <w:numPr>
          <w:ilvl w:val="0"/>
          <w:numId w:val="3"/>
        </w:numPr>
        <w:spacing w:after="120"/>
      </w:pPr>
      <w:r>
        <w:rPr>
          <w:rFonts w:ascii="Arial" w:cs="Arial" w:eastAsia="Arial" w:hAnsi="Arial"/>
          <w:b/>
          <w:bCs/>
          <w:sz w:val="22"/>
          <w:szCs w:val="22"/>
        </w:rPr>
        <w:t xml:space="preserve">3–5 days max build time. </w:t>
      </w:r>
      <w:r>
        <w:rPr>
          <w:rFonts w:ascii="Arial" w:cs="Arial" w:eastAsia="Arial" w:hAnsi="Arial"/>
          <w:sz w:val="22"/>
          <w:szCs w:val="22"/>
        </w:rPr>
        <w:t xml:space="preserve">If Brian estimates more than 5 days, the scope is too broad. Strip it back to the single most important thing to validate.</w:t>
      </w:r>
    </w:p>
    <w:p>
      <w:pPr>
        <w:pStyle w:val="ListParagraph"/>
        <w:numPr>
          <w:ilvl w:val="0"/>
          <w:numId w:val="3"/>
        </w:numPr>
        <w:spacing w:after="120"/>
      </w:pPr>
      <w:r>
        <w:rPr>
          <w:rFonts w:ascii="Arial" w:cs="Arial" w:eastAsia="Arial" w:hAnsi="Arial"/>
          <w:b/>
          <w:bCs/>
          <w:sz w:val="22"/>
          <w:szCs w:val="22"/>
        </w:rPr>
        <w:t xml:space="preserve">No production-grade error handling. </w:t>
      </w:r>
      <w:r>
        <w:rPr>
          <w:rFonts w:ascii="Arial" w:cs="Arial" w:eastAsia="Arial" w:hAnsi="Arial"/>
          <w:sz w:val="22"/>
          <w:szCs w:val="22"/>
        </w:rPr>
        <w:t xml:space="preserve">The prototype handles the happy path and maybe one edge case. That’s it.</w:t>
      </w:r>
    </w:p>
    <w:p>
      <w:pPr>
        <w:pStyle w:val="ListParagraph"/>
        <w:numPr>
          <w:ilvl w:val="0"/>
          <w:numId w:val="3"/>
        </w:numPr>
        <w:spacing w:after="120"/>
      </w:pPr>
      <w:r>
        <w:rPr>
          <w:rFonts w:ascii="Arial" w:cs="Arial" w:eastAsia="Arial" w:hAnsi="Arial"/>
          <w:b/>
          <w:bCs/>
          <w:sz w:val="22"/>
          <w:szCs w:val="22"/>
        </w:rPr>
        <w:t xml:space="preserve">Rough by design. </w:t>
      </w:r>
      <w:r>
        <w:rPr>
          <w:rFonts w:ascii="Arial" w:cs="Arial" w:eastAsia="Arial" w:hAnsi="Arial"/>
          <w:sz w:val="22"/>
          <w:szCs w:val="22"/>
        </w:rPr>
        <w:t xml:space="preserve">The prototype is intentionally unpolished. Polish invites the wrong kind of feedback (“can you change this font?”). Roughness keeps the conversation on substance: does the core capability work? Is the output useful? Is the integration feasible?</w:t>
      </w:r>
    </w:p>
    <w:p>
      <w:pPr>
        <w:pStyle w:val="ListParagraph"/>
        <w:numPr>
          <w:ilvl w:val="0"/>
          <w:numId w:val="3"/>
        </w:numPr>
        <w:spacing w:after="120"/>
      </w:pPr>
      <w:r>
        <w:rPr>
          <w:rFonts w:ascii="Arial" w:cs="Arial" w:eastAsia="Arial" w:hAnsi="Arial"/>
          <w:b/>
          <w:bCs/>
          <w:sz w:val="22"/>
          <w:szCs w:val="22"/>
        </w:rPr>
        <w:t xml:space="preserve">No full workflow coverage. </w:t>
      </w:r>
      <w:r>
        <w:rPr>
          <w:rFonts w:ascii="Arial" w:cs="Arial" w:eastAsia="Arial" w:hAnsi="Arial"/>
          <w:sz w:val="22"/>
          <w:szCs w:val="22"/>
        </w:rPr>
        <w:t xml:space="preserve">The prototype demonstrates one slice of the workflow, not the whole thing.</w:t>
      </w:r>
    </w:p>
    <w:p>
      <w:pPr>
        <w:pStyle w:val="ListParagraph"/>
        <w:numPr>
          <w:ilvl w:val="0"/>
          <w:numId w:val="3"/>
        </w:numPr>
        <w:spacing w:after="120"/>
      </w:pPr>
      <w:r>
        <w:rPr>
          <w:rFonts w:ascii="Arial" w:cs="Arial" w:eastAsia="Arial" w:hAnsi="Arial"/>
          <w:b/>
          <w:bCs/>
          <w:sz w:val="22"/>
          <w:szCs w:val="22"/>
        </w:rPr>
        <w:t xml:space="preserve">Built to validate, not to ship. </w:t>
      </w:r>
      <w:r>
        <w:rPr>
          <w:rFonts w:ascii="Arial" w:cs="Arial" w:eastAsia="Arial" w:hAnsi="Arial"/>
          <w:sz w:val="22"/>
          <w:szCs w:val="22"/>
        </w:rPr>
        <w:t xml:space="preserve">The prototype is a conversation tool, not a deliverable. The customer reacts to it — they don’t keep it. If anyone starts talking about “going live” with the prototype, scope has drifted.</w:t>
      </w:r>
    </w:p>
    <w:p>
      <w:pPr>
        <w:pStyle w:val="ListParagraph"/>
        <w:numPr>
          <w:ilvl w:val="0"/>
          <w:numId w:val="3"/>
        </w:numPr>
        <w:spacing w:after="120"/>
      </w:pPr>
      <w:r>
        <w:rPr>
          <w:rFonts w:ascii="Arial" w:cs="Arial" w:eastAsia="Arial" w:hAnsi="Arial"/>
          <w:b/>
          <w:bCs/>
          <w:sz w:val="22"/>
          <w:szCs w:val="22"/>
        </w:rPr>
        <w:t xml:space="preserve">Real data preferred. </w:t>
      </w:r>
      <w:r>
        <w:rPr>
          <w:rFonts w:ascii="Arial" w:cs="Arial" w:eastAsia="Arial" w:hAnsi="Arial"/>
          <w:sz w:val="22"/>
          <w:szCs w:val="22"/>
        </w:rPr>
        <w:t xml:space="preserve">Prototypes on dummy data don’t trigger meaningful customer reactions. Push for real data. If truly unavailable, use realistic samples.</w:t>
      </w:r>
    </w:p>
    <w:p>
      <w:r>
        <w:br w:type="page"/>
      </w:r>
    </w:p>
    <w:p>
      <w:pPr>
        <w:pStyle w:val="Heading1"/>
      </w:pPr>
      <w:r>
        <w:t xml:space="preserve">Prototype Readiness Check</w:t>
      </w:r>
    </w:p>
    <w:p>
      <w:pPr>
        <w:spacing w:after="200"/>
      </w:pPr>
      <w:r>
        <w:rPr>
          <w:rFonts w:ascii="Arial" w:cs="Arial" w:eastAsia="Arial" w:hAnsi="Arial"/>
          <w:sz w:val="22"/>
          <w:szCs w:val="22"/>
        </w:rPr>
        <w:t xml:space="preserve">Before the Brief goes to Brian, the CCA (or Dan, in manual mode) runs five gut-check questions. A “no” doesn’t kill the prototype — it means push on that gap before sending the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Question</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We’re Checking</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Core workflow clear enough to demo?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We have at least the primary happy-path steps with inputs and outputs.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 prototype against a vague process misses the mark.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Real customer data available?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At least one set of actual records, samples, or exports.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Dummy data doesn’t trigger meaningful reactions.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Know what ‘good’ looks like?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At least one reference example exists.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Without a quality reference, output style is guesswork.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Key integration feasible?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Primary system is accessible — API available or sample data exported.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 prototype that can’t pull real data loses its power.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Reviewer available within 1 week?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The workflow owner has confirmed availability.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Unreviewed prototypes lose momentum.</w:t>
            </w:r>
          </w:p>
        </w:tc>
      </w:tr>
    </w:tbl>
    <w:p>
      <w:pPr>
        <w:spacing w:after="200"/>
      </w:pPr>
    </w:p>
    <w:p>
      <w:pPr>
        <w:pStyle w:val="Heading1"/>
      </w:pPr>
      <w:r>
        <w:t xml:space="preserve">Handoff Chain</w:t>
      </w:r>
    </w:p>
    <w:p>
      <w:pPr>
        <w:spacing w:after="200"/>
      </w:pPr>
      <w:r>
        <w:rPr>
          <w:rFonts w:ascii="Arial" w:cs="Arial" w:eastAsia="Arial" w:hAnsi="Arial"/>
          <w:sz w:val="22"/>
          <w:szCs w:val="22"/>
        </w:rPr>
        <w:t xml:space="preserve">The Prototype Brief follows this handoff sequence:</w:t>
      </w:r>
    </w:p>
    <w:p>
      <w:pPr>
        <w:pStyle w:val="ListParagraph"/>
        <w:numPr>
          <w:ilvl w:val="0"/>
          <w:numId w:val="4"/>
        </w:numPr>
        <w:spacing w:after="120"/>
      </w:pPr>
      <w:r>
        <w:rPr>
          <w:rFonts w:ascii="Arial" w:cs="Arial" w:eastAsia="Arial" w:hAnsi="Arial"/>
          <w:b/>
          <w:bCs/>
          <w:sz w:val="22"/>
          <w:szCs w:val="22"/>
        </w:rPr>
        <w:t xml:space="preserve">CCA assembles the Prototype Brief </w:t>
      </w:r>
      <w:r>
        <w:rPr>
          <w:rFonts w:ascii="Arial" w:cs="Arial" w:eastAsia="Arial" w:hAnsi="Arial"/>
          <w:sz w:val="22"/>
          <w:szCs w:val="22"/>
        </w:rPr>
        <w:t xml:space="preserve">from discovery/alignment context.</w:t>
      </w:r>
    </w:p>
    <w:p>
      <w:pPr>
        <w:pStyle w:val="ListParagraph"/>
        <w:numPr>
          <w:ilvl w:val="0"/>
          <w:numId w:val="4"/>
        </w:numPr>
        <w:spacing w:after="120"/>
      </w:pPr>
      <w:r>
        <w:rPr>
          <w:rFonts w:ascii="Arial" w:cs="Arial" w:eastAsia="Arial" w:hAnsi="Arial"/>
          <w:b/>
          <w:bCs/>
          <w:sz w:val="22"/>
          <w:szCs w:val="22"/>
        </w:rPr>
        <w:t xml:space="preserve">CCA posts to the Customer Channel in Teams, </w:t>
      </w:r>
      <w:r>
        <w:rPr>
          <w:rFonts w:ascii="Arial" w:cs="Arial" w:eastAsia="Arial" w:hAnsi="Arial"/>
          <w:sz w:val="22"/>
          <w:szCs w:val="22"/>
        </w:rPr>
        <w:t xml:space="preserve">tagging Dan.</w:t>
      </w:r>
    </w:p>
    <w:p>
      <w:pPr>
        <w:pStyle w:val="ListParagraph"/>
        <w:numPr>
          <w:ilvl w:val="0"/>
          <w:numId w:val="4"/>
        </w:numPr>
        <w:spacing w:after="120"/>
      </w:pPr>
      <w:r>
        <w:rPr>
          <w:rFonts w:ascii="Arial" w:cs="Arial" w:eastAsia="Arial" w:hAnsi="Arial"/>
          <w:b/>
          <w:bCs/>
          <w:sz w:val="22"/>
          <w:szCs w:val="22"/>
        </w:rPr>
        <w:t xml:space="preserve">Dan reviews via Feedback Loop </w:t>
      </w:r>
      <w:r>
        <w:rPr>
          <w:rFonts w:ascii="Arial" w:cs="Arial" w:eastAsia="Arial" w:hAnsi="Arial"/>
          <w:sz w:val="22"/>
          <w:szCs w:val="22"/>
        </w:rPr>
        <w:t xml:space="preserve">— confirms, adjusts, or asks for more context.</w:t>
      </w:r>
    </w:p>
    <w:p>
      <w:pPr>
        <w:pStyle w:val="ListParagraph"/>
        <w:numPr>
          <w:ilvl w:val="0"/>
          <w:numId w:val="4"/>
        </w:numPr>
        <w:spacing w:after="120"/>
      </w:pPr>
      <w:r>
        <w:rPr>
          <w:rFonts w:ascii="Arial" w:cs="Arial" w:eastAsia="Arial" w:hAnsi="Arial"/>
          <w:b/>
          <w:bCs/>
          <w:sz w:val="22"/>
          <w:szCs w:val="22"/>
        </w:rPr>
        <w:t xml:space="preserve">Dan forwards to Brian </w:t>
      </w:r>
      <w:r>
        <w:rPr>
          <w:rFonts w:ascii="Arial" w:cs="Arial" w:eastAsia="Arial" w:hAnsi="Arial"/>
          <w:sz w:val="22"/>
          <w:szCs w:val="22"/>
        </w:rPr>
        <w:t xml:space="preserve">(or Brian’s Build Agent picks it up from the channel). CCA never sends directly to Brian.</w:t>
      </w:r>
    </w:p>
    <w:p>
      <w:pPr>
        <w:pStyle w:val="ListParagraph"/>
        <w:numPr>
          <w:ilvl w:val="0"/>
          <w:numId w:val="4"/>
        </w:numPr>
        <w:spacing w:after="120"/>
      </w:pPr>
      <w:r>
        <w:rPr>
          <w:rFonts w:ascii="Arial" w:cs="Arial" w:eastAsia="Arial" w:hAnsi="Arial"/>
          <w:b/>
          <w:bCs/>
          <w:sz w:val="22"/>
          <w:szCs w:val="22"/>
        </w:rPr>
        <w:t xml:space="preserve">Brian builds the prototype </w:t>
      </w:r>
      <w:r>
        <w:rPr>
          <w:rFonts w:ascii="Arial" w:cs="Arial" w:eastAsia="Arial" w:hAnsi="Arial"/>
          <w:sz w:val="22"/>
          <w:szCs w:val="22"/>
        </w:rPr>
        <w:t xml:space="preserve">(3–5 days max).</w:t>
      </w:r>
    </w:p>
    <w:p>
      <w:pPr>
        <w:pStyle w:val="ListParagraph"/>
        <w:numPr>
          <w:ilvl w:val="0"/>
          <w:numId w:val="4"/>
        </w:numPr>
        <w:spacing w:after="120"/>
      </w:pPr>
      <w:r>
        <w:rPr>
          <w:rFonts w:ascii="Arial" w:cs="Arial" w:eastAsia="Arial" w:hAnsi="Arial"/>
          <w:b/>
          <w:bCs/>
          <w:sz w:val="22"/>
          <w:szCs w:val="22"/>
        </w:rPr>
        <w:t xml:space="preserve">Dan presents the prototype to the customer. </w:t>
      </w:r>
      <w:r>
        <w:rPr>
          <w:rFonts w:ascii="Arial" w:cs="Arial" w:eastAsia="Arial" w:hAnsi="Arial"/>
          <w:sz w:val="22"/>
          <w:szCs w:val="22"/>
        </w:rPr>
        <w:t xml:space="preserve">CCA captures reactions.</w:t>
      </w:r>
    </w:p>
    <w:p>
      <w:pPr>
        <w:pStyle w:val="ListParagraph"/>
        <w:numPr>
          <w:ilvl w:val="0"/>
          <w:numId w:val="4"/>
        </w:numPr>
        <w:spacing w:after="120"/>
      </w:pPr>
      <w:r>
        <w:rPr>
          <w:rFonts w:ascii="Arial" w:cs="Arial" w:eastAsia="Arial" w:hAnsi="Arial"/>
          <w:b/>
          <w:bCs/>
          <w:sz w:val="22"/>
          <w:szCs w:val="22"/>
        </w:rPr>
        <w:t xml:space="preserve">Feedback flows into the AITM Requirements Brief. </w:t>
      </w:r>
      <w:r>
        <w:rPr>
          <w:rFonts w:ascii="Arial" w:cs="Arial" w:eastAsia="Arial" w:hAnsi="Arial"/>
          <w:sz w:val="22"/>
          <w:szCs w:val="22"/>
        </w:rPr>
        <w:t xml:space="preserve">What worked, what missed, what’s missing — this is the richest source of requirements.</w:t>
      </w:r>
    </w:p>
    <w:p>
      <w:pPr>
        <w:pStyle w:val="Heading1"/>
      </w:pPr>
      <w:r>
        <w:t xml:space="preserve">What the Prototype Brief Is NOT</w:t>
      </w:r>
    </w:p>
    <w:p>
      <w:pPr>
        <w:pStyle w:val="ListParagraph"/>
        <w:numPr>
          <w:ilvl w:val="0"/>
          <w:numId w:val="5"/>
        </w:numPr>
        <w:spacing w:after="120"/>
      </w:pPr>
      <w:r>
        <w:rPr>
          <w:rFonts w:ascii="Arial" w:cs="Arial" w:eastAsia="Arial" w:hAnsi="Arial"/>
          <w:b/>
          <w:bCs/>
          <w:sz w:val="22"/>
          <w:szCs w:val="22"/>
        </w:rPr>
        <w:t xml:space="preserve">Not an AITM Requirements Brief. </w:t>
      </w:r>
      <w:r>
        <w:rPr>
          <w:rFonts w:ascii="Arial" w:cs="Arial" w:eastAsia="Arial" w:hAnsi="Arial"/>
          <w:sz w:val="22"/>
          <w:szCs w:val="22"/>
        </w:rPr>
        <w:t xml:space="preserve">It doesn’t define acceptance criteria, guardrails, decision authority, or the full workflow. Those come later.</w:t>
      </w:r>
    </w:p>
    <w:p>
      <w:pPr>
        <w:pStyle w:val="ListParagraph"/>
        <w:numPr>
          <w:ilvl w:val="0"/>
          <w:numId w:val="5"/>
        </w:numPr>
        <w:spacing w:after="120"/>
      </w:pPr>
      <w:r>
        <w:rPr>
          <w:rFonts w:ascii="Arial" w:cs="Arial" w:eastAsia="Arial" w:hAnsi="Arial"/>
          <w:b/>
          <w:bCs/>
          <w:sz w:val="22"/>
          <w:szCs w:val="22"/>
        </w:rPr>
        <w:t xml:space="preserve">Not a technical spec. </w:t>
      </w:r>
      <w:r>
        <w:rPr>
          <w:rFonts w:ascii="Arial" w:cs="Arial" w:eastAsia="Arial" w:hAnsi="Arial"/>
          <w:sz w:val="22"/>
          <w:szCs w:val="22"/>
        </w:rPr>
        <w:t xml:space="preserve">Brian decides HOW to build the prototype. The Brief tells him WHAT to demonstrate and to WHOM.</w:t>
      </w:r>
    </w:p>
    <w:p>
      <w:pPr>
        <w:pStyle w:val="ListParagraph"/>
        <w:numPr>
          <w:ilvl w:val="0"/>
          <w:numId w:val="5"/>
        </w:numPr>
        <w:spacing w:after="120"/>
      </w:pPr>
      <w:r>
        <w:rPr>
          <w:rFonts w:ascii="Arial" w:cs="Arial" w:eastAsia="Arial" w:hAnsi="Arial"/>
          <w:b/>
          <w:bCs/>
          <w:sz w:val="22"/>
          <w:szCs w:val="22"/>
        </w:rPr>
        <w:t xml:space="preserve">Not a commitment to the customer. </w:t>
      </w:r>
      <w:r>
        <w:rPr>
          <w:rFonts w:ascii="Arial" w:cs="Arial" w:eastAsia="Arial" w:hAnsi="Arial"/>
          <w:sz w:val="22"/>
          <w:szCs w:val="22"/>
        </w:rPr>
        <w:t xml:space="preserve">The prototype is a conversation tool, not a deliverable. The customer reacts to it — they don’t keep it.</w:t>
      </w:r>
    </w:p>
    <w:p>
      <w:pPr>
        <w:pStyle w:val="ListParagraph"/>
        <w:numPr>
          <w:ilvl w:val="0"/>
          <w:numId w:val="5"/>
        </w:numPr>
        <w:spacing w:after="120"/>
      </w:pPr>
      <w:r>
        <w:rPr>
          <w:rFonts w:ascii="Arial" w:cs="Arial" w:eastAsia="Arial" w:hAnsi="Arial"/>
          <w:b/>
          <w:bCs/>
          <w:sz w:val="22"/>
          <w:szCs w:val="22"/>
        </w:rPr>
        <w:t xml:space="preserve">Not a one-time artifact. </w:t>
      </w:r>
      <w:r>
        <w:rPr>
          <w:rFonts w:ascii="Arial" w:cs="Arial" w:eastAsia="Arial" w:hAnsi="Arial"/>
          <w:sz w:val="22"/>
          <w:szCs w:val="22"/>
        </w:rPr>
        <w:t xml:space="preserve">Multiple Prototype Briefs may be produced for the same Opportunity as the scope refines through the Alignment Loop.</w:t>
      </w:r>
    </w:p>
    <w:p>
      <w:r>
        <w:br w:type="page"/>
      </w:r>
    </w:p>
    <w:p>
      <w:pPr>
        <w:pStyle w:val="Heading1"/>
      </w:pPr>
      <w:r>
        <w:t xml:space="preserve">From Prototype Brief to AITM Requirements Brief</w:t>
      </w:r>
    </w:p>
    <w:p>
      <w:pPr>
        <w:spacing w:after="200"/>
      </w:pPr>
      <w:r>
        <w:rPr>
          <w:rFonts w:ascii="Arial" w:cs="Arial" w:eastAsia="Arial" w:hAnsi="Arial"/>
          <w:sz w:val="22"/>
          <w:szCs w:val="22"/>
        </w:rPr>
        <w:t xml:space="preserve">The Prototype Brief is a stepping stone. Here’s how information flows from the Brief into the full AITM Requirements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Prototype Brief Field</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Feeds Into (AITM Brief)</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How It Evolves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Core Skillset Being Tested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§4: Recommended Skillset Map</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Expands from 1 validated skillset to full map of all skillsets.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Key Integration Validated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§5: Knowledge &amp; Data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Confirmed integration moves from “untested” to “confirmed” in readiness scoring.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What Customer Reacted To</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§7: Success Metrics + Acceptance Criteria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Customer reactions define what “good” looks like — becomes the acceptance standard.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Context from Discovery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§3: Current Reality &amp; Process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Narrative deepens into structured process map with job steps and pain points.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Available Data / Samples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§5: Data Sources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Expands from “what we had for the prototype” to “all data the AITM needs.”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Quality Reference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§4: Behavioral Rules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Customer’s quality standard becomes the AITM’s output standard.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Open Questions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Alignment session agenda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Open questions become the probes for the next discovery/alignment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Customer Feedback</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All sections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The single richest input to the full Brief. Requirements surface through reaction, not imagination.</w:t>
            </w:r>
          </w:p>
        </w:tc>
      </w:tr>
    </w:tbl>
    <w:p>
      <w:pPr>
        <w:spacing w:after="200"/>
      </w:pPr>
    </w:p>
    <w:p>
      <w:pPr>
        <w:pStyle w:val="Heading1"/>
      </w:pPr>
      <w:r>
        <w:t xml:space="preserve">Sample: Cornerstone Proposal Drafter Prototype</w:t>
      </w:r>
    </w:p>
    <w:p>
      <w:pPr>
        <w:spacing w:after="200"/>
      </w:pPr>
    </w:p>
    <w:p>
      <w:pPr>
        <w:pStyle w:val="Heading2"/>
      </w:pPr>
      <w:r>
        <w:t xml:space="preserve">Section A: What We’re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AITM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Proposal Drafter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Customer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Cornerstone General Contractors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Core Skillset Being Tested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Generate a first-draft construction proposal from Procore project data, comparable past proposals in SharePoint, and Cornerstone’s standard template.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Key Integration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Read access to Procore project data via REST API (OAuth 2.0). Secondary: semantic search across ~200 past proposals in SharePoint.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What Customer Should React 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Draft proposal quality — does the narrative match Cornerstone’s voice? Comparable selection accuracy — are the right past projects being pulled? Fee schedule formatting — does cost data render correctly in their template?</w:t>
            </w:r>
          </w:p>
        </w:tc>
      </w:tr>
    </w:tbl>
    <w:p>
      <w:pPr>
        <w:spacing w:after="200"/>
      </w:pPr>
    </w:p>
    <w:p>
      <w:pPr>
        <w:pStyle w:val="Heading2"/>
      </w:pPr>
      <w:r>
        <w:t xml:space="preserve">Section B: Context for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Context from Discovery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Preconstruction team takes 3–5 days per proposal. Biggest bottleneck is manual search for comparable past proposals. Joe Jolley emphasized cover letter tone: “professional, not salesy.” Justin McVaney (VP) reviews all proposals &gt;$500K, frequently traveling. Uses consistent Word template with fixed section order.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Available Data / Samples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3 recent winning proposals (DOCX). Procore sandbox with read access. Rate schedule XLSX exported from Sage Intacct.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Quality Reference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2024 Alaska Civil project proposal (Joe: “our best recent example”). Template DOCX with required section order.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Known Constraints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Template section order is fixed. Fee schedule must use current rate data, not historical.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Open Questions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1. Sage Intacct API access not yet confirmed — using exported XLSX for prototype. 2. Cover letter personalization depth TBD — prototype uses comparable proposal language as baseline.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Reviewer + Timeline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Joe Jolley. Review session scheduled for [date], 1 week from brief handoff.</w:t>
            </w:r>
          </w:p>
        </w:tc>
      </w:tr>
    </w:tbl>
    <w:p>
      <w:pPr>
        <w:spacing w:after="200"/>
      </w:pPr>
    </w:p>
    <w:p>
      <w:pPr>
        <w:pStyle w:val="Heading1"/>
      </w:pPr>
      <w:r>
        <w:t xml:space="preserve">Companion Documents</w:t>
      </w:r>
    </w:p>
    <w:p>
      <w:pPr>
        <w:pStyle w:val="ListParagraph"/>
        <w:numPr>
          <w:ilvl w:val="0"/>
          <w:numId w:val="6"/>
        </w:numPr>
        <w:spacing w:after="120"/>
      </w:pPr>
      <w:r>
        <w:rPr>
          <w:rFonts w:ascii="Arial" w:cs="Arial" w:eastAsia="Arial" w:hAnsi="Arial"/>
          <w:b/>
          <w:bCs/>
          <w:sz w:val="22"/>
          <w:szCs w:val="22"/>
        </w:rPr>
        <w:t xml:space="preserve">AITM Requirements Brief Guide: </w:t>
      </w:r>
      <w:r>
        <w:rPr>
          <w:rFonts w:ascii="Arial" w:cs="Arial" w:eastAsia="Arial" w:hAnsi="Arial"/>
          <w:sz w:val="22"/>
          <w:szCs w:val="22"/>
        </w:rPr>
        <w:t xml:space="preserve">The full scoping guide. Prototype feedback feeds into the AITM Requirements Brief.</w:t>
      </w:r>
    </w:p>
    <w:p>
      <w:pPr>
        <w:pStyle w:val="ListParagraph"/>
        <w:numPr>
          <w:ilvl w:val="0"/>
          <w:numId w:val="6"/>
        </w:numPr>
        <w:spacing w:after="120"/>
      </w:pPr>
      <w:r>
        <w:rPr>
          <w:rFonts w:ascii="Arial" w:cs="Arial" w:eastAsia="Arial" w:hAnsi="Arial"/>
          <w:b/>
          <w:bCs/>
          <w:sz w:val="22"/>
          <w:szCs w:val="22"/>
        </w:rPr>
        <w:t xml:space="preserve">Opportunity Definition Framework: </w:t>
      </w:r>
      <w:r>
        <w:rPr>
          <w:rFonts w:ascii="Arial" w:cs="Arial" w:eastAsia="Arial" w:hAnsi="Arial"/>
          <w:sz w:val="22"/>
          <w:szCs w:val="22"/>
        </w:rPr>
        <w:t xml:space="preserve">Defines the Opportunity taxonomy. Prototypes target specific Opportunities.</w:t>
      </w:r>
    </w:p>
    <w:p>
      <w:pPr>
        <w:pStyle w:val="ListParagraph"/>
        <w:numPr>
          <w:ilvl w:val="0"/>
          <w:numId w:val="6"/>
        </w:numPr>
        <w:spacing w:after="120"/>
      </w:pPr>
      <w:r>
        <w:rPr>
          <w:rFonts w:ascii="Arial" w:cs="Arial" w:eastAsia="Arial" w:hAnsi="Arial"/>
          <w:b/>
          <w:bCs/>
          <w:sz w:val="22"/>
          <w:szCs w:val="22"/>
        </w:rPr>
        <w:t xml:space="preserve">Process Map Guide: </w:t>
      </w:r>
      <w:r>
        <w:rPr>
          <w:rFonts w:ascii="Arial" w:cs="Arial" w:eastAsia="Arial" w:hAnsi="Arial"/>
          <w:sz w:val="22"/>
          <w:szCs w:val="22"/>
        </w:rPr>
        <w:t xml:space="preserve">The process map provides the workflow context that informs the Prototype Brief’s “Context from Discovery” field.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Manage AI  |  Prototype Brief Guide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2"/>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2026-03-29T01:11:35.604Z</dcterms:created>
  <dcterms:modified xsi:type="dcterms:W3CDTF">2026-03-29T01:11:35.604Z</dcterms:modified>
</cp:coreProperties>
</file>

<file path=docProps/custom.xml><?xml version="1.0" encoding="utf-8"?>
<Properties xmlns="http://schemas.openxmlformats.org/officeDocument/2006/custom-properties" xmlns:vt="http://schemas.openxmlformats.org/officeDocument/2006/docPropsVTypes"/>
</file>