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Deal - Intake Sheet</w:t>
      </w:r>
    </w:p>
    <w:p>
      <w:r>
        <w:t>Use these variables to complete both the Cloud Service Agreement and the companion Data Processing Agreement.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Customer Name</w:t>
            </w:r>
          </w:p>
        </w:tc>
        <w:tc>
          <w:tcPr>
            <w:tcW w:type="dxa" w:w="4320"/>
          </w:tcPr>
          <w:p>
            <w:r>
              <w:t>Wayne Enterprises, Inc.</w:t>
            </w:r>
          </w:p>
        </w:tc>
      </w:tr>
      <w:tr>
        <w:tc>
          <w:tcPr>
            <w:tcW w:type="dxa" w:w="4320"/>
          </w:tcPr>
          <w:p>
            <w:r>
              <w:t>Provider Name</w:t>
            </w:r>
          </w:p>
        </w:tc>
        <w:tc>
          <w:tcPr>
            <w:tcW w:type="dxa" w:w="4320"/>
          </w:tcPr>
          <w:p>
            <w:r>
              <w:t>Acme Cloud Services, Inc.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June 22, 2026</w:t>
            </w:r>
          </w:p>
        </w:tc>
      </w:tr>
    </w:tbl>
    <w:p/>
    <w:p>
      <w:r>
        <w:t>Prepared by Deal Operations. Use these exact values; do not invent or alter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