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Post-Money SAFE - Deal Data Sheet</w:t>
      </w:r>
    </w:p>
    <w:p>
      <w:r>
        <w:t>The following deal data must be used to complete the Post-Money SAFE template. Every field below maps to a placeholder in the SAFE.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Acme Robotics, Inc.</w:t>
            </w:r>
          </w:p>
        </w:tc>
      </w:tr>
      <w:tr>
        <w:tc>
          <w:tcPr>
            <w:tcW w:type="dxa" w:w="4320"/>
          </w:tcPr>
          <w:p>
            <w:r>
              <w:t>State of Incorporation</w:t>
            </w:r>
          </w:p>
        </w:tc>
        <w:tc>
          <w:tcPr>
            <w:tcW w:type="dxa" w:w="4320"/>
          </w:tcPr>
          <w:p>
            <w:r>
              <w:t>Delaware</w:t>
            </w:r>
          </w:p>
        </w:tc>
      </w:tr>
      <w:tr>
        <w:tc>
          <w:tcPr>
            <w:tcW w:type="dxa" w:w="4320"/>
          </w:tcPr>
          <w:p>
            <w:r>
              <w:t>Investor Name</w:t>
            </w:r>
          </w:p>
        </w:tc>
        <w:tc>
          <w:tcPr>
            <w:tcW w:type="dxa" w:w="4320"/>
          </w:tcPr>
          <w:p>
            <w:r>
              <w:t>Vertex Seed Fund, L.P.</w:t>
            </w:r>
          </w:p>
        </w:tc>
      </w:tr>
      <w:tr>
        <w:tc>
          <w:tcPr>
            <w:tcW w:type="dxa" w:w="4320"/>
          </w:tcPr>
          <w:p>
            <w:r>
              <w:t>Purchase Amount</w:t>
            </w:r>
          </w:p>
        </w:tc>
        <w:tc>
          <w:tcPr>
            <w:tcW w:type="dxa" w:w="4320"/>
          </w:tcPr>
          <w:p>
            <w:r>
              <w:t>$500,000</w:t>
            </w:r>
          </w:p>
        </w:tc>
      </w:tr>
      <w:tr>
        <w:tc>
          <w:tcPr>
            <w:tcW w:type="dxa" w:w="4320"/>
          </w:tcPr>
          <w:p>
            <w:r>
              <w:t>Post-Money Valuation Cap</w:t>
            </w:r>
          </w:p>
        </w:tc>
        <w:tc>
          <w:tcPr>
            <w:tcW w:type="dxa" w:w="4320"/>
          </w:tcPr>
          <w:p>
            <w:r>
              <w:t>$15,000,000</w:t>
            </w:r>
          </w:p>
        </w:tc>
      </w:tr>
      <w:tr>
        <w:tc>
          <w:tcPr>
            <w:tcW w:type="dxa" w:w="4320"/>
          </w:tcPr>
          <w:p>
            <w:r>
              <w:t>Date of Safe</w:t>
            </w:r>
          </w:p>
        </w:tc>
        <w:tc>
          <w:tcPr>
            <w:tcW w:type="dxa" w:w="4320"/>
          </w:tcPr>
          <w:p>
            <w:r>
              <w:t>June 22, 2026</w:t>
            </w:r>
          </w:p>
        </w:tc>
      </w:tr>
      <w:tr>
        <w:tc>
          <w:tcPr>
            <w:tcW w:type="dxa" w:w="4320"/>
          </w:tcPr>
          <w:p>
            <w:r>
              <w:t>Governing Law Jurisdiction</w:t>
            </w:r>
          </w:p>
        </w:tc>
        <w:tc>
          <w:tcPr>
            <w:tcW w:type="dxa" w:w="4320"/>
          </w:tcPr>
          <w:p>
            <w:r>
              <w:t>Delaware</w:t>
            </w:r>
          </w:p>
        </w:tc>
      </w:tr>
      <w:tr>
        <w:tc>
          <w:tcPr>
            <w:tcW w:type="dxa" w:w="4320"/>
          </w:tcPr>
          <w:p>
            <w:r>
              <w:t>Company Signatory Name</w:t>
            </w:r>
          </w:p>
        </w:tc>
        <w:tc>
          <w:tcPr>
            <w:tcW w:type="dxa" w:w="4320"/>
          </w:tcPr>
          <w:p>
            <w:r>
              <w:t>John Carter</w:t>
            </w:r>
          </w:p>
        </w:tc>
      </w:tr>
      <w:tr>
        <w:tc>
          <w:tcPr>
            <w:tcW w:type="dxa" w:w="4320"/>
          </w:tcPr>
          <w:p>
            <w:r>
              <w:t>Company Signatory Title</w:t>
            </w:r>
          </w:p>
        </w:tc>
        <w:tc>
          <w:tcPr>
            <w:tcW w:type="dxa" w:w="4320"/>
          </w:tcPr>
          <w:p>
            <w:r>
              <w:t>Chief Executive Officer</w:t>
            </w:r>
          </w:p>
        </w:tc>
      </w:tr>
    </w:tbl>
    <w:p/>
    <w:p>
      <w:r>
        <w:t>Prepared by Deal Operations. Use these exact values; do not invent or alter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