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2.png" ContentType="image/png"/>
  <Override PartName="/word/media/rId19.png" ContentType="image/png"/>
  <Override PartName="/word/media/rId46.png" ContentType="image/png"/>
  <Override PartName="/word/media/rId23.png" ContentType="image/png"/>
  <Override PartName="/word/media/rId9.jpg" ContentType="image/jpeg"/>
  <Override PartName="/word/media/rId52.png" ContentType="image/png"/>
  <Override PartName="/word/media/rId35.png" ContentType="image/png"/>
  <Override PartName="/word/media/rId28.png" ContentType="image/png"/>
  <Override PartName="/word/media/rId31.png" ContentType="image/png"/>
  <Override PartName="/word/media/rId41.png" ContentType="image/png"/>
  <Override PartName="/word/media/footer-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D2.7</w:t>
      </w:r>
    </w:p>
    <w:p>
      <w:pPr>
        <w:pStyle w:val="BodyText"/>
      </w:pPr>
      <w:r>
        <w:rPr>
          <w:b/>
          <w:bCs/>
        </w:rPr>
        <w:t xml:space="preserve">Deployment of the PoC platform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Project Title</w:t>
            </w:r>
          </w:p>
        </w:tc>
        <w:tc>
          <w:tcPr/>
          <w:p>
            <w:pPr>
              <w:pStyle w:val="Compact"/>
              <w:jc w:val="left"/>
            </w:pPr>
            <w:r>
              <w:t xml:space="preserve">dealii-X: an Exascale Framework for Digital Twins of</w:t>
            </w:r>
            <w:r>
              <w:t xml:space="preserve"> </w:t>
            </w:r>
            <w:r>
              <w:t xml:space="preserve">the Human Body</w:t>
            </w:r>
          </w:p>
        </w:tc>
      </w:tr>
      <w:tr>
        <w:tc>
          <w:tcPr/>
          <w:p>
            <w:pPr>
              <w:pStyle w:val="Compact"/>
              <w:jc w:val="left"/>
            </w:pPr>
            <w:r>
              <w:rPr>
                <w:b/>
                <w:bCs/>
              </w:rPr>
              <w:t xml:space="preserve">Project Number</w:t>
            </w:r>
          </w:p>
        </w:tc>
        <w:tc>
          <w:tcPr/>
          <w:p>
            <w:pPr>
              <w:pStyle w:val="Compact"/>
              <w:jc w:val="left"/>
            </w:pPr>
            <w:r>
              <w:t xml:space="preserve">101172493</w:t>
            </w:r>
          </w:p>
        </w:tc>
      </w:tr>
      <w:tr>
        <w:tc>
          <w:tcPr/>
          <w:p>
            <w:pPr>
              <w:pStyle w:val="Compact"/>
              <w:jc w:val="left"/>
            </w:pPr>
            <w:r>
              <w:rPr>
                <w:b/>
                <w:bCs/>
              </w:rPr>
              <w:t xml:space="preserve">Funding Program</w:t>
            </w:r>
          </w:p>
        </w:tc>
        <w:tc>
          <w:tcPr/>
          <w:p>
            <w:pPr>
              <w:pStyle w:val="Compact"/>
              <w:jc w:val="left"/>
            </w:pPr>
            <w:r>
              <w:t xml:space="preserve">European High-Performance Computing Joint</w:t>
            </w:r>
            <w:r>
              <w:t xml:space="preserve"> </w:t>
            </w:r>
            <w:r>
              <w:t xml:space="preserve">Undertaking</w:t>
            </w:r>
          </w:p>
        </w:tc>
      </w:tr>
      <w:tr>
        <w:tc>
          <w:tcPr/>
          <w:p>
            <w:pPr>
              <w:pStyle w:val="Compact"/>
              <w:jc w:val="left"/>
            </w:pPr>
            <w:r>
              <w:rPr>
                <w:b/>
                <w:bCs/>
              </w:rPr>
              <w:t xml:space="preserve">Project start date</w:t>
            </w:r>
          </w:p>
        </w:tc>
        <w:tc>
          <w:tcPr/>
          <w:p>
            <w:pPr>
              <w:pStyle w:val="Compact"/>
              <w:jc w:val="left"/>
            </w:pPr>
            <w:r>
              <w:t xml:space="preserve">1 October 2024</w:t>
            </w:r>
          </w:p>
        </w:tc>
      </w:tr>
      <w:tr>
        <w:tc>
          <w:tcPr/>
          <w:p>
            <w:pPr>
              <w:pStyle w:val="Compact"/>
              <w:jc w:val="left"/>
            </w:pPr>
            <w:r>
              <w:rPr>
                <w:b/>
                <w:bCs/>
              </w:rPr>
              <w:t xml:space="preserve">Duration</w:t>
            </w:r>
          </w:p>
        </w:tc>
        <w:tc>
          <w:tcPr/>
          <w:p>
            <w:pPr>
              <w:pStyle w:val="Compact"/>
              <w:jc w:val="left"/>
            </w:pPr>
            <w:r>
              <w:t xml:space="preserve">27 months</w:t>
            </w:r>
          </w:p>
        </w:tc>
      </w:tr>
    </w:tbl>
    <w:p>
      <w:pPr>
        <w:pStyle w:val="BodyText"/>
      </w:pPr>
      <w:r>
        <w:drawing>
          <wp:inline>
            <wp:extent cx="1600200" cy="1600200"/>
            <wp:effectExtent b="0" l="0" r="0" t="0"/>
            <wp:docPr descr="image" title="" id="10" name="Picture"/>
            <a:graphic>
              <a:graphicData uri="http://schemas.openxmlformats.org/drawingml/2006/picture">
                <pic:pic>
                  <pic:nvPicPr>
                    <pic:cNvPr descr="dealii-x_logo.jpeg" id="11" name="Picture"/>
                    <pic:cNvPicPr>
                      <a:picLocks noChangeArrowheads="1" noChangeAspect="1"/>
                    </pic:cNvPicPr>
                  </pic:nvPicPr>
                  <pic:blipFill>
                    <a:blip r:embed="rId9"/>
                    <a:stretch>
                      <a:fillRect/>
                    </a:stretch>
                  </pic:blipFill>
                  <pic:spPr bwMode="auto">
                    <a:xfrm>
                      <a:off x="0" y="0"/>
                      <a:ext cx="1600200" cy="1600200"/>
                    </a:xfrm>
                    <a:prstGeom prst="rect">
                      <a:avLst/>
                    </a:prstGeom>
                    <a:noFill/>
                    <a:ln w="9525">
                      <a:noFill/>
                      <a:headEnd/>
                      <a:tailEnd/>
                    </a:ln>
                  </pic:spPr>
                </pic:pic>
              </a:graphicData>
            </a:graphic>
          </wp:inline>
        </w:drawing>
      </w:r>
    </w:p>
    <w:p>
      <w:pPr>
        <w:pStyle w:val="BodyText"/>
      </w:pPr>
      <w:r>
        <w:drawing>
          <wp:inline>
            <wp:extent cx="640080" cy="426803"/>
            <wp:effectExtent b="0" l="0" r="0" t="0"/>
            <wp:docPr descr="image" title="" id="13" name="Picture"/>
            <a:graphic>
              <a:graphicData uri="http://schemas.openxmlformats.org/drawingml/2006/picture">
                <pic:pic>
                  <pic:nvPicPr>
                    <pic:cNvPr descr="Flag_of_Europe.png" id="14" name="Picture"/>
                    <pic:cNvPicPr>
                      <a:picLocks noChangeArrowheads="1" noChangeAspect="1"/>
                    </pic:cNvPicPr>
                  </pic:nvPicPr>
                  <pic:blipFill>
                    <a:blip r:embed="rId12"/>
                    <a:stretch>
                      <a:fillRect/>
                    </a:stretch>
                  </pic:blipFill>
                  <pic:spPr bwMode="auto">
                    <a:xfrm>
                      <a:off x="0" y="0"/>
                      <a:ext cx="640080" cy="426803"/>
                    </a:xfrm>
                    <a:prstGeom prst="rect">
                      <a:avLst/>
                    </a:prstGeom>
                    <a:noFill/>
                    <a:ln w="9525">
                      <a:noFill/>
                      <a:headEnd/>
                      <a:tailEnd/>
                    </a:ln>
                  </pic:spPr>
                </pic:pic>
              </a:graphicData>
            </a:graphic>
          </wp:inline>
        </w:drawing>
      </w:r>
    </w:p>
    <w:p>
      <w:pPr>
        <w:pStyle w:val="BodyText"/>
      </w:pPr>
      <w:r>
        <w:t xml:space="preserve">dealii-X has received funding from the European High-Performance Computing</w:t>
      </w:r>
      <w:r>
        <w:t xml:space="preserve"> </w:t>
      </w:r>
      <w:r>
        <w:t xml:space="preserve">Joint Undertaking Programme under grant agreement N</w:t>
      </w:r>
      <w:r>
        <w:rPr>
          <w:vertAlign w:val="superscript"/>
        </w:rPr>
        <w:t xml:space="preserve">o</w:t>
      </w:r>
      <w:r>
        <w:t xml:space="preserve"> 101172493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Deliverable title</w:t>
            </w:r>
          </w:p>
        </w:tc>
        <w:tc>
          <w:tcPr/>
          <w:p>
            <w:pPr>
              <w:pStyle w:val="Compact"/>
              <w:jc w:val="left"/>
            </w:pPr>
            <w:r>
              <w:t xml:space="preserve">D2.7: Deployment of the PoC platform</w:t>
            </w:r>
          </w:p>
        </w:tc>
      </w:tr>
      <w:tr>
        <w:tc>
          <w:tcPr/>
          <w:p>
            <w:pPr>
              <w:pStyle w:val="Compact"/>
              <w:jc w:val="left"/>
            </w:pPr>
            <w:r>
              <w:rPr>
                <w:b/>
                <w:bCs/>
              </w:rPr>
              <w:t xml:space="preserve">Deliverable number</w:t>
            </w:r>
          </w:p>
        </w:tc>
        <w:tc>
          <w:tcPr/>
          <w:p>
            <w:pPr>
              <w:pStyle w:val="Compact"/>
              <w:jc w:val="left"/>
            </w:pPr>
            <w:r>
              <w:t xml:space="preserve">D2.7</w:t>
            </w:r>
          </w:p>
        </w:tc>
      </w:tr>
      <w:tr>
        <w:tc>
          <w:tcPr/>
          <w:p>
            <w:pPr>
              <w:pStyle w:val="Compact"/>
              <w:jc w:val="left"/>
            </w:pPr>
            <w:r>
              <w:rPr>
                <w:b/>
                <w:bCs/>
              </w:rPr>
              <w:t xml:space="preserve">Deliverable version</w:t>
            </w:r>
          </w:p>
        </w:tc>
        <w:tc>
          <w:tcPr/>
          <w:p>
            <w:pPr>
              <w:pStyle w:val="Compact"/>
              <w:jc w:val="left"/>
            </w:pPr>
            <w:r>
              <w:t xml:space="preserve">0.1</w:t>
            </w:r>
          </w:p>
        </w:tc>
      </w:tr>
      <w:tr>
        <w:tc>
          <w:tcPr/>
          <w:p>
            <w:pPr>
              <w:pStyle w:val="Compact"/>
              <w:jc w:val="left"/>
            </w:pPr>
            <w:r>
              <w:rPr>
                <w:b/>
                <w:bCs/>
              </w:rPr>
              <w:t xml:space="preserve">Date of delivery</w:t>
            </w:r>
          </w:p>
        </w:tc>
        <w:tc>
          <w:tcPr/>
          <w:p>
            <w:pPr>
              <w:pStyle w:val="Compact"/>
              <w:jc w:val="left"/>
            </w:pPr>
            <w:r>
              <w:t xml:space="preserve">31/07/2026</w:t>
            </w:r>
          </w:p>
        </w:tc>
      </w:tr>
      <w:tr>
        <w:tc>
          <w:tcPr/>
          <w:p>
            <w:pPr>
              <w:pStyle w:val="Compact"/>
              <w:jc w:val="left"/>
            </w:pPr>
            <w:r>
              <w:rPr>
                <w:b/>
                <w:bCs/>
              </w:rPr>
              <w:t xml:space="preserve">Actual date of delivery</w:t>
            </w:r>
          </w:p>
        </w:tc>
        <w:tc>
          <w:tcPr/>
          <w:p>
            <w:pPr>
              <w:pStyle w:val="Compact"/>
              <w:jc w:val="left"/>
            </w:pPr>
            <w:r>
              <w:t xml:space="preserve">[TBD]</w:t>
            </w:r>
          </w:p>
        </w:tc>
      </w:tr>
      <w:tr>
        <w:tc>
          <w:tcPr/>
          <w:p>
            <w:pPr>
              <w:pStyle w:val="Compact"/>
              <w:jc w:val="left"/>
            </w:pPr>
            <w:r>
              <w:rPr>
                <w:b/>
                <w:bCs/>
              </w:rPr>
              <w:t xml:space="preserve">Nature of deliverable</w:t>
            </w:r>
          </w:p>
        </w:tc>
        <w:tc>
          <w:tcPr/>
          <w:p>
            <w:pPr>
              <w:pStyle w:val="Compact"/>
              <w:jc w:val="left"/>
            </w:pPr>
            <w:r>
              <w:t xml:space="preserve">Report</w:t>
            </w:r>
          </w:p>
        </w:tc>
      </w:tr>
      <w:tr>
        <w:tc>
          <w:tcPr/>
          <w:p>
            <w:pPr>
              <w:pStyle w:val="Compact"/>
              <w:jc w:val="left"/>
            </w:pPr>
            <w:r>
              <w:rPr>
                <w:b/>
                <w:bCs/>
              </w:rPr>
              <w:t xml:space="preserve">Dissemination level</w:t>
            </w:r>
          </w:p>
        </w:tc>
        <w:tc>
          <w:tcPr/>
          <w:p>
            <w:pPr>
              <w:pStyle w:val="Compact"/>
              <w:jc w:val="left"/>
            </w:pPr>
            <w:r>
              <w:t xml:space="preserve">Public</w:t>
            </w:r>
          </w:p>
        </w:tc>
      </w:tr>
      <w:tr>
        <w:tc>
          <w:tcPr/>
          <w:p>
            <w:pPr>
              <w:pStyle w:val="Compact"/>
              <w:jc w:val="left"/>
            </w:pPr>
            <w:r>
              <w:rPr>
                <w:b/>
                <w:bCs/>
              </w:rPr>
              <w:t xml:space="preserve">Work Package</w:t>
            </w:r>
          </w:p>
        </w:tc>
        <w:tc>
          <w:tcPr/>
          <w:p>
            <w:pPr>
              <w:pStyle w:val="Compact"/>
              <w:jc w:val="left"/>
            </w:pPr>
            <w:r>
              <w:t xml:space="preserve">WP2</w:t>
            </w:r>
          </w:p>
        </w:tc>
      </w:tr>
      <w:tr>
        <w:tc>
          <w:tcPr/>
          <w:p>
            <w:pPr>
              <w:pStyle w:val="Compact"/>
              <w:jc w:val="left"/>
            </w:pPr>
            <w:r>
              <w:rPr>
                <w:b/>
                <w:bCs/>
              </w:rPr>
              <w:t xml:space="preserve">Partner responsible</w:t>
            </w:r>
          </w:p>
        </w:tc>
        <w:tc>
          <w:tcPr/>
          <w:p>
            <w:pPr>
              <w:pStyle w:val="Compact"/>
              <w:jc w:val="left"/>
            </w:pPr>
            <w:r>
              <w:t xml:space="preserve">eXact lab</w:t>
            </w:r>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Abstract</w:t>
            </w:r>
          </w:p>
        </w:tc>
        <w:tc>
          <w:tcPr/>
          <w:p>
            <w:pPr>
              <w:pStyle w:val="Compact"/>
              <w:jc w:val="left"/>
            </w:pPr>
            <w:r>
              <w:t xml:space="preserve">dealii-X D2.7 reports on the deployment of the</w:t>
            </w:r>
            <w:r>
              <w:t xml:space="preserve"> </w:t>
            </w:r>
            <w:r>
              <w:t xml:space="preserve">first version of the Proof of Concept (PoC) platform, whose design was</w:t>
            </w:r>
            <w:r>
              <w:t xml:space="preserve"> </w:t>
            </w:r>
            <w:r>
              <w:t xml:space="preserve">presented in D2.6. The platform, named DealiiX Platform, is accessed through a desktop</w:t>
            </w:r>
            <w:r>
              <w:t xml:space="preserve"> </w:t>
            </w:r>
            <w:r>
              <w:t xml:space="preserve">application which provides a node-based low-code editor for building</w:t>
            </w:r>
            <w:r>
              <w:t xml:space="preserve"> </w:t>
            </w:r>
            <w:r>
              <w:t xml:space="preserve">computational graphs, which are then executed by CORAL, a C++ computational</w:t>
            </w:r>
            <w:r>
              <w:t xml:space="preserve"> </w:t>
            </w:r>
            <w:r>
              <w:t xml:space="preserve">graph engine backed by the deal.II library. The no-code layer</w:t>
            </w:r>
            <w:r>
              <w:t xml:space="preserve"> </w:t>
            </w:r>
            <w:r>
              <w:t xml:space="preserve">envisioned in D2.6 is realized through subnetwork nodes, allowing users</w:t>
            </w:r>
            <w:r>
              <w:t xml:space="preserve"> </w:t>
            </w:r>
            <w:r>
              <w:t xml:space="preserve">to encapsulate low-code graphs into reusable high-level components.</w:t>
            </w:r>
            <w:r>
              <w:t xml:space="preserve"> </w:t>
            </w:r>
            <w:r>
              <w:t xml:space="preserve">The platform transparently targets computational resources ranging</w:t>
            </w:r>
            <w:r>
              <w:t xml:space="preserve"> </w:t>
            </w:r>
            <w:r>
              <w:t xml:space="preserve">from the local machine to remote HPC systems managed by the Slurm</w:t>
            </w:r>
            <w:r>
              <w:t xml:space="preserve"> </w:t>
            </w:r>
            <w:r>
              <w:t xml:space="preserve">scheduler, including MPI-parallel executions, and integrates a</w:t>
            </w:r>
            <w:r>
              <w:t xml:space="preserve"> </w:t>
            </w:r>
            <w:r>
              <w:t xml:space="preserve">collaborative project server and a visualization service. This</w:t>
            </w:r>
            <w:r>
              <w:t xml:space="preserve"> </w:t>
            </w:r>
            <w:r>
              <w:t xml:space="preserve">deliverable describes the architecture and the main features of the</w:t>
            </w:r>
            <w:r>
              <w:t xml:space="preserve"> </w:t>
            </w:r>
            <w:r>
              <w:t xml:space="preserve">deployed platform, its packaging, testing and continuous integration</w:t>
            </w:r>
            <w:r>
              <w:t xml:space="preserve"> </w:t>
            </w:r>
            <w:r>
              <w:t xml:space="preserve">infrastructure, and outlines the activities planned for the final</w:t>
            </w:r>
            <w:r>
              <w:t xml:space="preserve"> </w:t>
            </w:r>
            <w:r>
              <w:t xml:space="preserve">development phase of the project.</w:t>
            </w:r>
          </w:p>
        </w:tc>
      </w:tr>
      <w:tr>
        <w:tc>
          <w:tcPr/>
          <w:p>
            <w:pPr>
              <w:pStyle w:val="Compact"/>
              <w:jc w:val="left"/>
            </w:pPr>
            <w:r>
              <w:rPr>
                <w:b/>
                <w:bCs/>
              </w:rPr>
              <w:t xml:space="preserve">Keywords</w:t>
            </w:r>
          </w:p>
        </w:tc>
        <w:tc>
          <w:tcPr/>
          <w:p>
            <w:pPr>
              <w:pStyle w:val="Compact"/>
              <w:jc w:val="left"/>
            </w:pPr>
            <w:r>
              <w:t xml:space="preserve">PoC platform;</w:t>
            </w:r>
            <w:r>
              <w:t xml:space="preserve"> </w:t>
            </w:r>
            <w:r>
              <w:t xml:space="preserve">low-code interface;</w:t>
            </w:r>
            <w:r>
              <w:t xml:space="preserve"> </w:t>
            </w:r>
            <w:r>
              <w:t xml:space="preserve">no-code interface;</w:t>
            </w:r>
            <w:r>
              <w:t xml:space="preserve"> </w:t>
            </w:r>
            <w:r>
              <w:t xml:space="preserve">computational graph;</w:t>
            </w:r>
            <w:r>
              <w:t xml:space="preserve"> </w:t>
            </w:r>
            <w:r>
              <w:t xml:space="preserve">CORAL;</w:t>
            </w:r>
            <w:r>
              <w:t xml:space="preserve"> </w:t>
            </w:r>
            <w:r>
              <w:t xml:space="preserve">deal.II;</w:t>
            </w:r>
            <w:r>
              <w:t xml:space="preserve"> </w:t>
            </w:r>
            <w:r>
              <w:t xml:space="preserve">metascheduler;</w:t>
            </w:r>
            <w:r>
              <w:t xml:space="preserve"> </w:t>
            </w:r>
            <w:r>
              <w:t xml:space="preserve">HPC</w:t>
            </w:r>
          </w:p>
        </w:tc>
      </w:tr>
    </w:tbl>
    <w:bookmarkStart w:id="15" w:name="document-control-information"/>
    <w:p>
      <w:pPr>
        <w:pStyle w:val="Heading2"/>
      </w:pPr>
      <w:r>
        <w:t xml:space="preserve">Document Control Information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Version</w:t>
            </w:r>
          </w:p>
        </w:tc>
        <w:tc>
          <w:tcPr/>
          <w:p>
            <w:pPr>
              <w:pStyle w:val="Compact"/>
              <w:jc w:val="left"/>
            </w:pPr>
            <w:r>
              <w:rPr>
                <w:b/>
                <w:bCs/>
              </w:rPr>
              <w:t xml:space="preserve">Date</w:t>
            </w:r>
          </w:p>
        </w:tc>
        <w:tc>
          <w:tcPr/>
          <w:p>
            <w:pPr>
              <w:pStyle w:val="Compact"/>
              <w:jc w:val="left"/>
            </w:pPr>
            <w:r>
              <w:rPr>
                <w:b/>
                <w:bCs/>
              </w:rPr>
              <w:t xml:space="preserve">Author</w:t>
            </w:r>
          </w:p>
        </w:tc>
        <w:tc>
          <w:tcPr/>
          <w:p>
            <w:pPr>
              <w:pStyle w:val="Compact"/>
              <w:jc w:val="left"/>
            </w:pPr>
            <w:r>
              <w:rPr>
                <w:b/>
                <w:bCs/>
              </w:rPr>
              <w:t xml:space="preserve">Changes Made</w:t>
            </w:r>
          </w:p>
        </w:tc>
      </w:tr>
      <w:tr>
        <w:tc>
          <w:tcPr/>
          <w:p>
            <w:pPr>
              <w:pStyle w:val="Compact"/>
              <w:jc w:val="left"/>
            </w:pPr>
            <w:r>
              <w:t xml:space="preserve">0.1</w:t>
            </w:r>
          </w:p>
        </w:tc>
        <w:tc>
          <w:tcPr/>
          <w:p>
            <w:pPr>
              <w:pStyle w:val="Compact"/>
              <w:jc w:val="left"/>
            </w:pPr>
            <w:r>
              <w:t xml:space="preserve">16/07/2026</w:t>
            </w:r>
          </w:p>
        </w:tc>
        <w:tc>
          <w:tcPr/>
          <w:p>
            <w:pPr>
              <w:pStyle w:val="Compact"/>
              <w:jc w:val="left"/>
            </w:pPr>
            <w:r>
              <w:t xml:space="preserve">M. Franzon</w:t>
            </w:r>
          </w:p>
        </w:tc>
        <w:tc>
          <w:tcPr/>
          <w:p>
            <w:pPr>
              <w:pStyle w:val="Compact"/>
              <w:jc w:val="left"/>
            </w:pPr>
            <w:r>
              <w:t xml:space="preserve">Initial draft</w:t>
            </w:r>
          </w:p>
        </w:tc>
      </w:tr>
      <w:tr>
        <w:tc>
          <w:tcPr/>
          <w:p>
            <w:pPr>
              <w:pStyle w:val="Compact"/>
              <w:jc w:val="left"/>
            </w:pPr>
            <w:r>
              <w:t xml:space="preserve">0.2</w:t>
            </w:r>
          </w:p>
        </w:tc>
        <w:tc>
          <w:tcPr/>
          <w:p>
            <w:pPr>
              <w:pStyle w:val="Compact"/>
              <w:jc w:val="left"/>
            </w:pPr>
            <w:r>
              <w:t xml:space="preserve">29/07/2026</w:t>
            </w:r>
          </w:p>
        </w:tc>
        <w:tc>
          <w:tcPr/>
          <w:p>
            <w:pPr>
              <w:pStyle w:val="Compact"/>
              <w:jc w:val="left"/>
            </w:pPr>
            <w:r>
              <w:t xml:space="preserve">P. Colturi, M. Franzon</w:t>
            </w:r>
          </w:p>
        </w:tc>
        <w:tc>
          <w:tcPr/>
          <w:p>
            <w:pPr>
              <w:pStyle w:val="Compact"/>
              <w:jc w:val="left"/>
            </w:pPr>
            <w:r>
              <w:t xml:space="preserve">Added the section on</w:t>
            </w:r>
            <w:r>
              <w:t xml:space="preserve"> </w:t>
            </w:r>
            <w:r>
              <w:t xml:space="preserve">testing with the lighthouse applications and early-user feedback; revised</w:t>
            </w:r>
            <w:r>
              <w:t xml:space="preserve"> </w:t>
            </w:r>
            <w:r>
              <w:t xml:space="preserve">the description of the HPC deployment and of the planned orchestration</w:t>
            </w:r>
            <w:r>
              <w:t xml:space="preserve"> </w:t>
            </w:r>
            <w:r>
              <w:t xml:space="preserve">layer; updated the Outlook</w:t>
            </w:r>
          </w:p>
        </w:tc>
      </w:tr>
    </w:tbl>
    <w:bookmarkEnd w:id="15"/>
    <w:bookmarkStart w:id="16" w:name="approval-details"/>
    <w:p>
      <w:pPr>
        <w:pStyle w:val="Heading2"/>
      </w:pPr>
      <w:r>
        <w:t xml:space="preserve">Approval Details</w:t>
      </w:r>
    </w:p>
    <w:p>
      <w:pPr>
        <w:pStyle w:val="FirstParagraph"/>
      </w:pPr>
      <w:r>
        <w:t xml:space="preserve">Approved by: [TBD]</w:t>
      </w:r>
    </w:p>
    <w:p>
      <w:pPr>
        <w:pStyle w:val="BodyText"/>
      </w:pPr>
      <w:r>
        <w:t xml:space="preserve">Approval Date: [TBD]</w:t>
      </w:r>
    </w:p>
    <w:bookmarkEnd w:id="16"/>
    <w:bookmarkStart w:id="17" w:name="distribution-list"/>
    <w:p>
      <w:pPr>
        <w:pStyle w:val="Heading2"/>
      </w:pPr>
      <w:r>
        <w:t xml:space="preserve">Distribution List</w:t>
      </w:r>
    </w:p>
    <w:p>
      <w:pPr>
        <w:numPr>
          <w:ilvl w:val="0"/>
          <w:numId w:val="1001"/>
        </w:numPr>
      </w:pPr>
      <w:r>
        <w:t xml:space="preserve">Project Coordinators (PCs)</w:t>
      </w:r>
    </w:p>
    <w:p>
      <w:pPr>
        <w:numPr>
          <w:ilvl w:val="0"/>
          <w:numId w:val="1001"/>
        </w:numPr>
      </w:pPr>
      <w:r>
        <w:t xml:space="preserve">Work Package Leaders (WPLs)</w:t>
      </w:r>
    </w:p>
    <w:p>
      <w:pPr>
        <w:numPr>
          <w:ilvl w:val="0"/>
          <w:numId w:val="1001"/>
        </w:numPr>
      </w:pPr>
      <w:r>
        <w:t xml:space="preserve">Steering Committee (SC)</w:t>
      </w:r>
    </w:p>
    <w:p>
      <w:pPr>
        <w:numPr>
          <w:ilvl w:val="0"/>
          <w:numId w:val="1001"/>
        </w:numPr>
      </w:pPr>
      <w:r>
        <w:t xml:space="preserve">European Commission (EC)</w:t>
      </w:r>
    </w:p>
    <w:p>
      <w:pPr>
        <w:pStyle w:val="FirstParagraph"/>
      </w:pPr>
      <w:r>
        <w:rPr>
          <w:b/>
          <w:bCs/>
        </w:rPr>
        <w:t xml:space="preserve">Disclaimer</w:t>
      </w:r>
      <w:r>
        <w:t xml:space="preserve">: This project has received funding from the European Union. The views and opinions expressed are those of the author(s) only and do not necessarily reflect those of the European Union or the European High-Performance Computing Joint Undertaking (the</w:t>
      </w:r>
      <w:r>
        <w:t xml:space="preserve"> </w:t>
      </w:r>
      <w:r>
        <w:t xml:space="preserve">“granting authority”</w:t>
      </w:r>
      <w:r>
        <w:t xml:space="preserve">). Neither the European Union nor the granting authority can be held responsible for them.</w:t>
      </w:r>
    </w:p>
    <w:bookmarkEnd w:id="17"/>
    <w:bookmarkStart w:id="18" w:name="introduction"/>
    <w:p>
      <w:pPr>
        <w:pStyle w:val="Heading1"/>
      </w:pPr>
      <w:r>
        <w:rPr>
          <w:rStyle w:val="SectionNumber"/>
        </w:rPr>
        <w:t xml:space="preserve">1</w:t>
      </w:r>
      <w:r>
        <w:tab/>
      </w:r>
      <w:r>
        <w:t xml:space="preserve">Introduction</w:t>
      </w:r>
    </w:p>
    <w:p>
      <w:pPr>
        <w:pStyle w:val="FirstParagraph"/>
      </w:pPr>
      <w:r>
        <w:t xml:space="preserve">Deliverable D2.6 presented the design of the Proof of Concept (PoC) platform</w:t>
      </w:r>
      <w:r>
        <w:t xml:space="preserve"> </w:t>
      </w:r>
      <w:r>
        <w:t xml:space="preserve">of the dealii-X project: a single environment in which professionals with</w:t>
      </w:r>
      <w:r>
        <w:t xml:space="preserve"> </w:t>
      </w:r>
      <w:r>
        <w:t xml:space="preserve">different levels of technical expertise can build, run and inspect</w:t>
      </w:r>
      <w:r>
        <w:t xml:space="preserve"> </w:t>
      </w:r>
      <w:r>
        <w:t xml:space="preserve">simulations based on the dealii-X libraries, without having to deal with the</w:t>
      </w:r>
      <w:r>
        <w:t xml:space="preserve"> </w:t>
      </w:r>
      <w:r>
        <w:t xml:space="preserve">complexity of the traditional HPC workflow. The design identified four main</w:t>
      </w:r>
      <w:r>
        <w:t xml:space="preserve"> </w:t>
      </w:r>
      <w:r>
        <w:t xml:space="preserve">requirements: a collaborative space, a modular architecture, an interaction</w:t>
      </w:r>
      <w:r>
        <w:t xml:space="preserve"> </w:t>
      </w:r>
      <w:r>
        <w:t xml:space="preserve">model that allows deep customization without requiring specific coding</w:t>
      </w:r>
      <w:r>
        <w:t xml:space="preserve"> </w:t>
      </w:r>
      <w:r>
        <w:t xml:space="preserve">skills, and a transparent usage of computational resources, from local</w:t>
      </w:r>
      <w:r>
        <w:t xml:space="preserve"> </w:t>
      </w:r>
      <w:r>
        <w:t xml:space="preserve">machines to HPC clusters. These requirements led to the adoption of a</w:t>
      </w:r>
      <w:r>
        <w:t xml:space="preserve"> </w:t>
      </w:r>
      <w:r>
        <w:t xml:space="preserve">combined low-code/no-code approach, in which users can define custom no-code</w:t>
      </w:r>
      <w:r>
        <w:t xml:space="preserve"> </w:t>
      </w:r>
      <w:r>
        <w:t xml:space="preserve">nodes in terms of low-code logic.</w:t>
      </w:r>
    </w:p>
    <w:p>
      <w:pPr>
        <w:pStyle w:val="BodyText"/>
      </w:pPr>
      <w:r>
        <w:t xml:space="preserve">The present deliverable reports on the deployment of the first version of</w:t>
      </w:r>
      <w:r>
        <w:t xml:space="preserve"> </w:t>
      </w:r>
      <w:r>
        <w:t xml:space="preserve">the PoC platform, named</w:t>
      </w:r>
      <w:r>
        <w:t xml:space="preserve"> </w:t>
      </w:r>
      <w:r>
        <w:rPr>
          <w:i/>
          <w:iCs/>
        </w:rPr>
        <w:t xml:space="preserve">DealiiX Platform</w:t>
      </w:r>
      <w:r>
        <w:t xml:space="preserve">. Following the development</w:t>
      </w:r>
      <w:r>
        <w:t xml:space="preserve"> </w:t>
      </w:r>
      <w:r>
        <w:t xml:space="preserve">plan outlined in D2.6, the implementation activities of tasks 2.6.2</w:t>
      </w:r>
      <w:r>
        <w:t xml:space="preserve"> </w:t>
      </w:r>
      <w:r>
        <w:t xml:space="preserve">(development of the no-code/low-code graphical user interface) and 2.6.3</w:t>
      </w:r>
      <w:r>
        <w:t xml:space="preserve"> </w:t>
      </w:r>
      <w:r>
        <w:t xml:space="preserve">(development of a meta-scheduler system) started in M7 and proceeded</w:t>
      </w:r>
      <w:r>
        <w:t xml:space="preserve"> </w:t>
      </w:r>
      <w:r>
        <w:t xml:space="preserve">iteratively, with a first version of the platform available at M17 and the</w:t>
      </w:r>
      <w:r>
        <w:t xml:space="preserve"> </w:t>
      </w:r>
      <w:r>
        <w:t xml:space="preserve">deployment and testing phase (task 2.6.4) carried out between M18 and M22.</w:t>
      </w:r>
      <w:r>
        <w:t xml:space="preserve"> </w:t>
      </w:r>
      <w:r>
        <w:t xml:space="preserve">The platform has been developed in the open, with an iterative release</w:t>
      </w:r>
      <w:r>
        <w:t xml:space="preserve"> </w:t>
      </w:r>
      <w:r>
        <w:t xml:space="preserve">process: six versions have been released between M12 and M22, each</w:t>
      </w:r>
      <w:r>
        <w:t xml:space="preserve"> </w:t>
      </w:r>
      <w:r>
        <w:t xml:space="preserve">accompanied by a public changelog, packaged installers for Linux and macOS,</w:t>
      </w:r>
      <w:r>
        <w:t xml:space="preserve"> </w:t>
      </w:r>
      <w:r>
        <w:t xml:space="preserve">and an automated test suite.</w:t>
      </w:r>
    </w:p>
    <w:p>
      <w:pPr>
        <w:pStyle w:val="BodyText"/>
      </w:pPr>
      <w:r>
        <w:t xml:space="preserve">The rest of the deliverable is organized as follows. Section 2 presents the</w:t>
      </w:r>
      <w:r>
        <w:t xml:space="preserve"> </w:t>
      </w:r>
      <w:r>
        <w:t xml:space="preserve">architecture of the platform and its components. Section 3 describes the</w:t>
      </w:r>
      <w:r>
        <w:t xml:space="preserve"> </w:t>
      </w:r>
      <w:r>
        <w:t xml:space="preserve">low-code node editor, the concrete realization of the design sketched in</w:t>
      </w:r>
      <w:r>
        <w:t xml:space="preserve"> </w:t>
      </w:r>
      <w:r>
        <w:t xml:space="preserve">section 2 of D2.6. Section 4 describes the no-code layer, based on</w:t>
      </w:r>
      <w:r>
        <w:t xml:space="preserve"> </w:t>
      </w:r>
      <w:r>
        <w:t xml:space="preserve">subnetwork nodes. Section 5 covers the execution modes and the</w:t>
      </w:r>
      <w:r>
        <w:t xml:space="preserve"> </w:t>
      </w:r>
      <w:r>
        <w:t xml:space="preserve">meta-scheduling functionality, which transparently target local and remote</w:t>
      </w:r>
      <w:r>
        <w:t xml:space="preserve"> </w:t>
      </w:r>
      <w:r>
        <w:t xml:space="preserve">computational resources. Section 6 presents the collaborative and</w:t>
      </w:r>
      <w:r>
        <w:t xml:space="preserve"> </w:t>
      </w:r>
      <w:r>
        <w:t xml:space="preserve">visualization services. Section 7 reports on the testing of the platform</w:t>
      </w:r>
      <w:r>
        <w:t xml:space="preserve"> </w:t>
      </w:r>
      <w:r>
        <w:t xml:space="preserve">with the dealii-X lighthouse applications and on the feedback collected</w:t>
      </w:r>
      <w:r>
        <w:t xml:space="preserve"> </w:t>
      </w:r>
      <w:r>
        <w:t xml:space="preserve">during the deployment phase. Section 8 reports on packaging, deployment and</w:t>
      </w:r>
      <w:r>
        <w:t xml:space="preserve"> </w:t>
      </w:r>
      <w:r>
        <w:t xml:space="preserve">quality assurance, and section 9 outlines the activities planned for the</w:t>
      </w:r>
      <w:r>
        <w:t xml:space="preserve"> </w:t>
      </w:r>
      <w:r>
        <w:t xml:space="preserve">final phase of the project.</w:t>
      </w:r>
    </w:p>
    <w:bookmarkEnd w:id="18"/>
    <w:bookmarkStart w:id="22" w:name="architecture-of-the-poc-platform"/>
    <w:p>
      <w:pPr>
        <w:pStyle w:val="Heading1"/>
      </w:pPr>
      <w:r>
        <w:rPr>
          <w:rStyle w:val="SectionNumber"/>
        </w:rPr>
        <w:t xml:space="preserve">2</w:t>
      </w:r>
      <w:r>
        <w:tab/>
      </w:r>
      <w:r>
        <w:t xml:space="preserve">Architecture of the PoC platform</w:t>
      </w:r>
    </w:p>
    <w:p>
      <w:pPr>
        <w:pStyle w:val="FirstParagraph"/>
      </w:pPr>
      <w:r>
        <w:t xml:space="preserve">The PoC platform is composed of four cooperating components, shown in</w:t>
      </w:r>
      <w:r>
        <w:t xml:space="preserve"> </w:t>
      </w:r>
      <w:r>
        <w:t xml:space="preserve">Fig. 1:</w:t>
      </w:r>
    </w:p>
    <w:p>
      <w:pPr>
        <w:numPr>
          <w:ilvl w:val="0"/>
          <w:numId w:val="1002"/>
        </w:numPr>
      </w:pPr>
      <w:r>
        <w:rPr>
          <w:b/>
          <w:bCs/>
        </w:rPr>
        <w:t xml:space="preserve">DealiiX Platform</w:t>
      </w:r>
      <w:r>
        <w:t xml:space="preserve">, the desktop application that provides</w:t>
      </w:r>
      <w:r>
        <w:t xml:space="preserve"> </w:t>
      </w:r>
      <w:r>
        <w:t xml:space="preserve">the user interface. It is built with the Electron framework and the</w:t>
      </w:r>
      <w:r>
        <w:t xml:space="preserve"> </w:t>
      </w:r>
      <w:r>
        <w:t xml:space="preserve">Svelte 5 web framework, and embeds the node-based canvas editor on</w:t>
      </w:r>
      <w:r>
        <w:t xml:space="preserve"> </w:t>
      </w:r>
      <w:r>
        <w:t xml:space="preserve">which the low-code and no-code interactions take place.</w:t>
      </w:r>
    </w:p>
    <w:p>
      <w:pPr>
        <w:numPr>
          <w:ilvl w:val="0"/>
          <w:numId w:val="1002"/>
        </w:numPr>
      </w:pPr>
      <w:r>
        <w:rPr>
          <w:b/>
          <w:bCs/>
        </w:rPr>
        <w:t xml:space="preserve">CORAL</w:t>
      </w:r>
      <w:r>
        <w:t xml:space="preserve"> </w:t>
      </w:r>
      <w:r>
        <w:t xml:space="preserve">(Computational Object-oriented Representation And</w:t>
      </w:r>
      <w:r>
        <w:t xml:space="preserve"> </w:t>
      </w:r>
      <w:r>
        <w:t xml:space="preserve">Library), the C++ computational graph engine that executes the</w:t>
      </w:r>
      <w:r>
        <w:t xml:space="preserve"> </w:t>
      </w:r>
      <w:r>
        <w:t xml:space="preserve">graphs built in the editor. CORAL exposes the classes and functions</w:t>
      </w:r>
      <w:r>
        <w:t xml:space="preserve"> </w:t>
      </w:r>
      <w:r>
        <w:t xml:space="preserve">of an underlying scientific library as a</w:t>
      </w:r>
      <w:r>
        <w:t xml:space="preserve"> </w:t>
      </w:r>
      <w:r>
        <w:rPr>
          <w:i/>
          <w:iCs/>
        </w:rPr>
        <w:t xml:space="preserve">registry</w:t>
      </w:r>
      <w:r>
        <w:t xml:space="preserve"> </w:t>
      </w:r>
      <w:r>
        <w:t xml:space="preserve">of nodes,</w:t>
      </w:r>
      <w:r>
        <w:t xml:space="preserve"> </w:t>
      </w:r>
      <w:r>
        <w:t xml:space="preserve">and executes</w:t>
      </w:r>
      <w:r>
        <w:t xml:space="preserve"> </w:t>
      </w:r>
      <w:r>
        <w:rPr>
          <w:i/>
          <w:iCs/>
        </w:rPr>
        <w:t xml:space="preserve">networks</w:t>
      </w:r>
      <w:r>
        <w:t xml:space="preserve"> </w:t>
      </w:r>
      <w:r>
        <w:t xml:space="preserve">of such nodes. The main backend is a</w:t>
      </w:r>
      <w:r>
        <w:t xml:space="preserve"> </w:t>
      </w:r>
      <w:r>
        <w:t xml:space="preserve">deal.II plugin, which makes the deal.II finite element machinery</w:t>
      </w:r>
      <w:r>
        <w:t xml:space="preserve"> </w:t>
      </w:r>
      <w:r>
        <w:t xml:space="preserve">available as graph nodes.</w:t>
      </w:r>
    </w:p>
    <w:p>
      <w:pPr>
        <w:numPr>
          <w:ilvl w:val="0"/>
          <w:numId w:val="1002"/>
        </w:numPr>
      </w:pPr>
      <w:r>
        <w:rPr>
          <w:b/>
          <w:bCs/>
        </w:rPr>
        <w:t xml:space="preserve">Coral Remote Server</w:t>
      </w:r>
      <w:r>
        <w:t xml:space="preserve">, a REST API server written in Go</w:t>
      </w:r>
      <w:r>
        <w:t xml:space="preserve"> </w:t>
      </w:r>
      <w:r>
        <w:t xml:space="preserve">that provides user authentication and collaborative project</w:t>
      </w:r>
      <w:r>
        <w:t xml:space="preserve"> </w:t>
      </w:r>
      <w:r>
        <w:t xml:space="preserve">management, backed by an SQLite database.</w:t>
      </w:r>
    </w:p>
    <w:p>
      <w:pPr>
        <w:numPr>
          <w:ilvl w:val="0"/>
          <w:numId w:val="1002"/>
        </w:numPr>
      </w:pPr>
      <w:r>
        <w:rPr>
          <w:b/>
          <w:bCs/>
        </w:rPr>
        <w:t xml:space="preserve">Coral Visualizer</w:t>
      </w:r>
      <w:r>
        <w:t xml:space="preserve">, a Python web application for the</w:t>
      </w:r>
      <w:r>
        <w:t xml:space="preserve"> </w:t>
      </w:r>
      <w:r>
        <w:t xml:space="preserve">visualization of simulation results in VTK formats, built on the</w:t>
      </w:r>
      <w:r>
        <w:t xml:space="preserve"> </w:t>
      </w:r>
      <w:r>
        <w:t xml:space="preserve">Trame framework with a ParaView-based rendering backend.</w:t>
      </w:r>
    </w:p>
    <w:p>
      <w:pPr>
        <w:pStyle w:val="CaptionedFigure"/>
      </w:pPr>
      <w:r>
        <w:drawing>
          <wp:inline>
            <wp:extent cx="3919513" cy="2490476"/>
            <wp:effectExtent b="0" l="0" r="0" t="0"/>
            <wp:docPr descr="" title="" id="20" name="Picture"/>
            <a:graphic>
              <a:graphicData uri="http://schemas.openxmlformats.org/drawingml/2006/picture">
                <pic:pic>
                  <pic:nvPicPr>
                    <pic:cNvPr descr="architecture.png" id="21" name="Picture"/>
                    <pic:cNvPicPr>
                      <a:picLocks noChangeArrowheads="1" noChangeAspect="1"/>
                    </pic:cNvPicPr>
                  </pic:nvPicPr>
                  <pic:blipFill>
                    <a:blip r:embed="rId19"/>
                    <a:stretch>
                      <a:fillRect/>
                    </a:stretch>
                  </pic:blipFill>
                  <pic:spPr bwMode="auto">
                    <a:xfrm>
                      <a:off x="0" y="0"/>
                      <a:ext cx="3919513" cy="2490476"/>
                    </a:xfrm>
                    <a:prstGeom prst="rect">
                      <a:avLst/>
                    </a:prstGeom>
                    <a:noFill/>
                    <a:ln w="9525">
                      <a:noFill/>
                      <a:headEnd/>
                      <a:tailEnd/>
                    </a:ln>
                  </pic:spPr>
                </pic:pic>
              </a:graphicData>
            </a:graphic>
          </wp:inline>
        </w:drawing>
      </w:r>
    </w:p>
    <w:p>
      <w:pPr>
        <w:pStyle w:val="ImageCaption"/>
      </w:pPr>
      <w:r>
        <w:t xml:space="preserve">Figure 1: Architecture of the PoC platform and its components</w:t>
      </w:r>
    </w:p>
    <w:p>
      <w:pPr>
        <w:pStyle w:val="BodyText"/>
      </w:pPr>
      <w:r>
        <w:t xml:space="preserve">The desktop application and CORAL communicate through two JSON-based</w:t>
      </w:r>
      <w:r>
        <w:t xml:space="preserve"> </w:t>
      </w:r>
      <w:r>
        <w:t xml:space="preserve">protocols, which constitute the contract between the user interface and the</w:t>
      </w:r>
      <w:r>
        <w:t xml:space="preserve"> </w:t>
      </w:r>
      <w:r>
        <w:t xml:space="preserve">computational engine:</w:t>
      </w:r>
    </w:p>
    <w:p>
      <w:pPr>
        <w:numPr>
          <w:ilvl w:val="0"/>
          <w:numId w:val="1003"/>
        </w:numPr>
      </w:pPr>
      <w:r>
        <w:t xml:space="preserve">The</w:t>
      </w:r>
      <w:r>
        <w:t xml:space="preserve"> </w:t>
      </w:r>
      <w:r>
        <w:rPr>
          <w:b/>
          <w:bCs/>
        </w:rPr>
        <w:t xml:space="preserve">registry protocol</w:t>
      </w:r>
      <w:r>
        <w:t xml:space="preserve"> </w:t>
      </w:r>
      <w:r>
        <w:t xml:space="preserve">describes the node types made</w:t>
      </w:r>
      <w:r>
        <w:t xml:space="preserve"> </w:t>
      </w:r>
      <w:r>
        <w:t xml:space="preserve">available by a CORAL backend: for each node, its arguments with</w:t>
      </w:r>
      <w:r>
        <w:t xml:space="preserve"> </w:t>
      </w:r>
      <w:r>
        <w:t xml:space="preserve">their types, its input and output connections, and its nature</w:t>
      </w:r>
      <w:r>
        <w:t xml:space="preserve"> </w:t>
      </w:r>
      <w:r>
        <w:t xml:space="preserve">(constructor, member function, free function, etc.). The registry is</w:t>
      </w:r>
      <w:r>
        <w:t xml:space="preserve"> </w:t>
      </w:r>
      <w:r>
        <w:t xml:space="preserve">loaded by the application at startup, validated, and used to</w:t>
      </w:r>
      <w:r>
        <w:t xml:space="preserve"> </w:t>
      </w:r>
      <w:r>
        <w:t xml:space="preserve">populate the palette of available nodes.</w:t>
      </w:r>
    </w:p>
    <w:p>
      <w:pPr>
        <w:numPr>
          <w:ilvl w:val="0"/>
          <w:numId w:val="1003"/>
        </w:numPr>
      </w:pPr>
      <w:r>
        <w:t xml:space="preserve">The</w:t>
      </w:r>
      <w:r>
        <w:t xml:space="preserve"> </w:t>
      </w:r>
      <w:r>
        <w:rPr>
          <w:b/>
          <w:bCs/>
        </w:rPr>
        <w:t xml:space="preserve">network protocol</w:t>
      </w:r>
      <w:r>
        <w:t xml:space="preserve"> </w:t>
      </w:r>
      <w:r>
        <w:t xml:space="preserve">describes a computational graph as a</w:t>
      </w:r>
      <w:r>
        <w:t xml:space="preserve"> </w:t>
      </w:r>
      <w:r>
        <w:t xml:space="preserve">list of nodes and typed edges. It is used to save and load projects,</w:t>
      </w:r>
      <w:r>
        <w:t xml:space="preserve"> </w:t>
      </w:r>
      <w:r>
        <w:t xml:space="preserve">to exchange graphs between users, and to submit graphs to CORAL for</w:t>
      </w:r>
      <w:r>
        <w:t xml:space="preserve"> </w:t>
      </w:r>
      <w:r>
        <w:t xml:space="preserve">execution.</w:t>
      </w:r>
    </w:p>
    <w:p>
      <w:pPr>
        <w:pStyle w:val="FirstParagraph"/>
      </w:pPr>
      <w:r>
        <w:t xml:space="preserve">This clean separation keeps the user interface completely agnostic of the</w:t>
      </w:r>
      <w:r>
        <w:t xml:space="preserve"> </w:t>
      </w:r>
      <w:r>
        <w:t xml:space="preserve">underlying simulation library: any library wrapped by a CORAL backend</w:t>
      </w:r>
      <w:r>
        <w:t xml:space="preserve"> </w:t>
      </w:r>
      <w:r>
        <w:t xml:space="preserve">automatically becomes available in the visual editor, without changes to the</w:t>
      </w:r>
      <w:r>
        <w:t xml:space="preserve"> </w:t>
      </w:r>
      <w:r>
        <w:t xml:space="preserve">application. This fulfills one of the key modularity requirements set in</w:t>
      </w:r>
      <w:r>
        <w:t xml:space="preserve"> </w:t>
      </w:r>
      <w:r>
        <w:t xml:space="preserve">D2.6.</w:t>
      </w:r>
    </w:p>
    <w:bookmarkEnd w:id="22"/>
    <w:bookmarkStart w:id="27" w:name="sec:lowcode"/>
    <w:p>
      <w:pPr>
        <w:pStyle w:val="Heading1"/>
      </w:pPr>
      <w:r>
        <w:rPr>
          <w:rStyle w:val="SectionNumber"/>
        </w:rPr>
        <w:t xml:space="preserve">3</w:t>
      </w:r>
      <w:r>
        <w:tab/>
      </w:r>
      <w:r>
        <w:t xml:space="preserve">The low-code node editor</w:t>
      </w:r>
    </w:p>
    <w:p>
      <w:pPr>
        <w:pStyle w:val="FirstParagraph"/>
      </w:pPr>
      <w:r>
        <w:t xml:space="preserve">The low-code interface implements the node-based programming model designed</w:t>
      </w:r>
      <w:r>
        <w:t xml:space="preserve"> </w:t>
      </w:r>
      <w:r>
        <w:t xml:space="preserve">in section 2 of D2.6. The minimal set of object-oriented entities identified</w:t>
      </w:r>
      <w:r>
        <w:t xml:space="preserve"> </w:t>
      </w:r>
      <w:r>
        <w:t xml:space="preserve">there is mapped onto a family of node types: elementary constructors for</w:t>
      </w:r>
      <w:r>
        <w:t xml:space="preserve"> </w:t>
      </w:r>
      <w:r>
        <w:t xml:space="preserve">primitive values (integers, floating point numbers, booleans, strings),</w:t>
      </w:r>
      <w:r>
        <w:t xml:space="preserve"> </w:t>
      </w:r>
      <w:r>
        <w:t xml:space="preserve">class constructors, member functions (including</w:t>
      </w:r>
      <w:r>
        <w:t xml:space="preserve"> </w:t>
      </w:r>
      <w:r>
        <w:rPr>
          <w:rStyle w:val="VerbatimChar"/>
        </w:rPr>
        <w:t xml:space="preserve">const</w:t>
      </w:r>
      <w:r>
        <w:t xml:space="preserve"> </w:t>
      </w:r>
      <w:r>
        <w:t xml:space="preserve">and</w:t>
      </w:r>
      <w:r>
        <w:t xml:space="preserve"> </w:t>
      </w:r>
      <w:r>
        <w:t xml:space="preserve">value-returning methods), free functions, and abstract base classes used for</w:t>
      </w:r>
      <w:r>
        <w:t xml:space="preserve"> </w:t>
      </w:r>
      <w:r>
        <w:t xml:space="preserve">polymorphic connections. Each node exposes typed input and output pins, and</w:t>
      </w:r>
      <w:r>
        <w:t xml:space="preserve"> </w:t>
      </w:r>
      <w:r>
        <w:t xml:space="preserve">edges between pins are validated in real time against the type system: a</w:t>
      </w:r>
      <w:r>
        <w:t xml:space="preserve"> </w:t>
      </w:r>
      <w:r>
        <w:t xml:space="preserve">connection is accepted only if the output type of the source node matches</w:t>
      </w:r>
      <w:r>
        <w:t xml:space="preserve"> </w:t>
      </w:r>
      <w:r>
        <w:t xml:space="preserve">the input type of the target node, including inheritance relations through</w:t>
      </w:r>
      <w:r>
        <w:t xml:space="preserve"> </w:t>
      </w:r>
      <w:r>
        <w:t xml:space="preserve">abstract base classes. The same validation is applied when a graph is</w:t>
      </w:r>
      <w:r>
        <w:t xml:space="preserve"> </w:t>
      </w:r>
      <w:r>
        <w:t xml:space="preserve">imported from a file or loaded from the remote server, so that only</w:t>
      </w:r>
      <w:r>
        <w:t xml:space="preserve"> </w:t>
      </w:r>
      <w:r>
        <w:t xml:space="preserve">well-formed graphs reach the execution engine.</w:t>
      </w:r>
    </w:p>
    <w:bookmarkStart w:id="26" w:name="canvas"/>
    <w:p>
      <w:pPr>
        <w:pStyle w:val="CaptionedFigure"/>
      </w:pPr>
      <w:r>
        <w:drawing>
          <wp:inline>
            <wp:extent cx="5334000" cy="3042413"/>
            <wp:effectExtent b="0" l="0" r="0" t="0"/>
            <wp:docPr descr="" title="" id="24" name="Picture"/>
            <a:graphic>
              <a:graphicData uri="http://schemas.openxmlformats.org/drawingml/2006/picture">
                <pic:pic>
                  <pic:nvPicPr>
                    <pic:cNvPr descr="canvas.png" id="25" name="Picture"/>
                    <pic:cNvPicPr>
                      <a:picLocks noChangeArrowheads="1" noChangeAspect="1"/>
                    </pic:cNvPicPr>
                  </pic:nvPicPr>
                  <pic:blipFill>
                    <a:blip r:embed="rId23"/>
                    <a:stretch>
                      <a:fillRect/>
                    </a:stretch>
                  </pic:blipFill>
                  <pic:spPr bwMode="auto">
                    <a:xfrm>
                      <a:off x="0" y="0"/>
                      <a:ext cx="5334000" cy="3042413"/>
                    </a:xfrm>
                    <a:prstGeom prst="rect">
                      <a:avLst/>
                    </a:prstGeom>
                    <a:noFill/>
                    <a:ln w="9525">
                      <a:noFill/>
                      <a:headEnd/>
                      <a:tailEnd/>
                    </a:ln>
                  </pic:spPr>
                </pic:pic>
              </a:graphicData>
            </a:graphic>
          </wp:inline>
        </w:drawing>
      </w:r>
    </w:p>
    <w:p>
      <w:pPr>
        <w:pStyle w:val="ImageCaption"/>
      </w:pPr>
      <w:r>
        <w:t xml:space="preserve">Figure 2: A computational graph built in the DealiiX Platform’s</w:t>
      </w:r>
      <w:r>
        <w:t xml:space="preserve"> </w:t>
      </w:r>
      <w:r>
        <w:t xml:space="preserve">node-based low-code editor, executed by CORAL and equivalent to</w:t>
      </w:r>
      <w:r>
        <w:t xml:space="preserve"> </w:t>
      </w:r>
      <w:r>
        <w:t xml:space="preserve">deal.II’s step-4 tutorial in three dimensions</w:t>
      </w:r>
    </w:p>
    <w:bookmarkEnd w:id="26"/>
    <w:p>
      <w:pPr>
        <w:pStyle w:val="BodyText"/>
      </w:pPr>
      <w:r>
        <w:t xml:space="preserve">On top of this typed graph model, the editor (Fig. 2) provides</w:t>
      </w:r>
      <w:r>
        <w:t xml:space="preserve"> </w:t>
      </w:r>
      <w:r>
        <w:t xml:space="preserve">the interaction features expected from a modern visual programming</w:t>
      </w:r>
      <w:r>
        <w:t xml:space="preserve"> </w:t>
      </w:r>
      <w:r>
        <w:t xml:space="preserve">environment:</w:t>
      </w:r>
    </w:p>
    <w:p>
      <w:pPr>
        <w:numPr>
          <w:ilvl w:val="0"/>
          <w:numId w:val="1004"/>
        </w:numPr>
      </w:pPr>
      <w:r>
        <w:t xml:space="preserve">a searchable node palette, from which nodes are added to the</w:t>
      </w:r>
      <w:r>
        <w:t xml:space="preserve"> </w:t>
      </w:r>
      <w:r>
        <w:t xml:space="preserve">canvas via drag and drop;</w:t>
      </w:r>
    </w:p>
    <w:p>
      <w:pPr>
        <w:numPr>
          <w:ilvl w:val="0"/>
          <w:numId w:val="1004"/>
        </w:numPr>
      </w:pPr>
      <w:r>
        <w:t xml:space="preserve">a create-on-connect flow: dragging a connection onto an empty area</w:t>
      </w:r>
      <w:r>
        <w:t xml:space="preserve"> </w:t>
      </w:r>
      <w:r>
        <w:t xml:space="preserve">of the canvas offers the compatible node types and creates the</w:t>
      </w:r>
      <w:r>
        <w:t xml:space="preserve"> </w:t>
      </w:r>
      <w:r>
        <w:t xml:space="preserve">selected one, already connected;</w:t>
      </w:r>
    </w:p>
    <w:p>
      <w:pPr>
        <w:numPr>
          <w:ilvl w:val="0"/>
          <w:numId w:val="1004"/>
        </w:numPr>
      </w:pPr>
      <w:r>
        <w:t xml:space="preserve">editable literal fields directly on primitive nodes, editable node</w:t>
      </w:r>
      <w:r>
        <w:t xml:space="preserve"> </w:t>
      </w:r>
      <w:r>
        <w:t xml:space="preserve">names, multi-selection with bulk deletion;</w:t>
      </w:r>
    </w:p>
    <w:p>
      <w:pPr>
        <w:numPr>
          <w:ilvl w:val="0"/>
          <w:numId w:val="1004"/>
        </w:numPr>
      </w:pPr>
      <w:r>
        <w:t xml:space="preserve">per-level undo/redo history and automatic graph layout based on a</w:t>
      </w:r>
      <w:r>
        <w:t xml:space="preserve"> </w:t>
      </w:r>
      <w:r>
        <w:t xml:space="preserve">rank-based algorithm, with horizontal and vertical orientations;</w:t>
      </w:r>
    </w:p>
    <w:p>
      <w:pPr>
        <w:numPr>
          <w:ilvl w:val="0"/>
          <w:numId w:val="1004"/>
        </w:numPr>
      </w:pPr>
      <w:r>
        <w:t xml:space="preserve">import and export of graphs as JSON files following the network</w:t>
      </w:r>
      <w:r>
        <w:t xml:space="preserve"> </w:t>
      </w:r>
      <w:r>
        <w:t xml:space="preserve">protocol, so that graphs can be shared and versioned outside the</w:t>
      </w:r>
      <w:r>
        <w:t xml:space="preserve"> </w:t>
      </w:r>
      <w:r>
        <w:t xml:space="preserve">platform;</w:t>
      </w:r>
    </w:p>
    <w:p>
      <w:pPr>
        <w:numPr>
          <w:ilvl w:val="0"/>
          <w:numId w:val="1004"/>
        </w:numPr>
      </w:pPr>
      <w:r>
        <w:t xml:space="preserve">a light and a dark theme, with a fully semantic color system.</w:t>
      </w:r>
    </w:p>
    <w:p>
      <w:pPr>
        <w:pStyle w:val="FirstParagraph"/>
      </w:pPr>
      <w:r>
        <w:t xml:space="preserve">Simulation parameters are handled through a dedicated collapsible panel.</w:t>
      </w:r>
      <w:r>
        <w:t xml:space="preserve"> </w:t>
      </w:r>
      <w:r>
        <w:t xml:space="preserve">The platform</w:t>
      </w:r>
      <w:r>
        <w:t xml:space="preserve"> </w:t>
      </w:r>
      <w:r>
        <w:rPr>
          <w:i/>
          <w:iCs/>
        </w:rPr>
        <w:t xml:space="preserve">probes</w:t>
      </w:r>
      <w:r>
        <w:t xml:space="preserve"> </w:t>
      </w:r>
      <w:r>
        <w:t xml:space="preserve">the simulation code to obtain its parameter tree:</w:t>
      </w:r>
      <w:r>
        <w:t xml:space="preserve"> </w:t>
      </w:r>
      <w:r>
        <w:t xml:space="preserve">following the deal.II parameter handling conventions, both JSON and</w:t>
      </w:r>
      <w:r>
        <w:t xml:space="preserve"> </w:t>
      </w:r>
      <w:r>
        <w:rPr>
          <w:rStyle w:val="VerbatimChar"/>
        </w:rPr>
        <w:t xml:space="preserve">.prm</w:t>
      </w:r>
      <w:r>
        <w:t xml:space="preserve"> </w:t>
      </w:r>
      <w:r>
        <w:t xml:space="preserve">text formats are supported, with automatic format detection.</w:t>
      </w:r>
      <w:r>
        <w:t xml:space="preserve"> </w:t>
      </w:r>
      <w:r>
        <w:t xml:space="preserve">Parameters can be edited, sections can be duplicated (for parameter studies</w:t>
      </w:r>
      <w:r>
        <w:t xml:space="preserve"> </w:t>
      </w:r>
      <w:r>
        <w:t xml:space="preserve">of repeated subsections), and the resulting file is uploaded alongside the</w:t>
      </w:r>
      <w:r>
        <w:t xml:space="preserve"> </w:t>
      </w:r>
      <w:r>
        <w:t xml:space="preserve">graph at execution time.</w:t>
      </w:r>
    </w:p>
    <w:bookmarkEnd w:id="27"/>
    <w:bookmarkStart w:id="34" w:name="the-no-code-layer-subnetwork-nodes"/>
    <w:p>
      <w:pPr>
        <w:pStyle w:val="Heading1"/>
      </w:pPr>
      <w:r>
        <w:rPr>
          <w:rStyle w:val="SectionNumber"/>
        </w:rPr>
        <w:t xml:space="preserve">4</w:t>
      </w:r>
      <w:r>
        <w:tab/>
      </w:r>
      <w:r>
        <w:t xml:space="preserve">The no-code layer: subnetwork nodes</w:t>
      </w:r>
    </w:p>
    <w:p>
      <w:pPr>
        <w:pStyle w:val="FirstParagraph"/>
      </w:pPr>
      <w:r>
        <w:t xml:space="preserve">The key feature linking the low-code and the no-code approaches, as</w:t>
      </w:r>
      <w:r>
        <w:t xml:space="preserve"> </w:t>
      </w:r>
      <w:r>
        <w:t xml:space="preserve">anticipated in D2.6, is the ability to encapsulate a collection of nodes</w:t>
      </w:r>
      <w:r>
        <w:t xml:space="preserve"> </w:t>
      </w:r>
      <w:r>
        <w:t xml:space="preserve">into a single reusable node. In the deployed platform this is realized by</w:t>
      </w:r>
      <w:r>
        <w:t xml:space="preserve"> </w:t>
      </w:r>
      <w:r>
        <w:rPr>
          <w:i/>
          <w:iCs/>
        </w:rPr>
        <w:t xml:space="preserve">subnetwork nodes</w:t>
      </w:r>
      <w:r>
        <w:t xml:space="preserve"> </w:t>
      </w:r>
      <w:r>
        <w:t xml:space="preserve">(network nodes in the protocol nomenclature).</w:t>
      </w:r>
    </w:p>
    <w:p>
      <w:pPr>
        <w:pStyle w:val="BodyText"/>
      </w:pPr>
      <w:r>
        <w:t xml:space="preserve">Any selection of nodes on the canvas can be collapsed into a named</w:t>
      </w:r>
      <w:r>
        <w:t xml:space="preserve"> </w:t>
      </w:r>
      <w:r>
        <w:t xml:space="preserve">subnetwork node. The platform automatically computes the boundary of the</w:t>
      </w:r>
      <w:r>
        <w:t xml:space="preserve"> </w:t>
      </w:r>
      <w:r>
        <w:t xml:space="preserve">selection: the unconnected inputs and outputs of the selected nodes become</w:t>
      </w:r>
      <w:r>
        <w:t xml:space="preserve"> </w:t>
      </w:r>
      <w:r>
        <w:t xml:space="preserve">the external interface of the new node, while the internal edges are hidden.</w:t>
      </w:r>
      <w:r>
        <w:t xml:space="preserve"> </w:t>
      </w:r>
      <w:r>
        <w:t xml:space="preserve">The resulting node behaves like any other node in the palette — it can be</w:t>
      </w:r>
      <w:r>
        <w:t xml:space="preserve"> </w:t>
      </w:r>
      <w:r>
        <w:t xml:space="preserve">dragged onto the canvas, connected, and shared — but it encapsulates an</w:t>
      </w:r>
      <w:r>
        <w:t xml:space="preserve"> </w:t>
      </w:r>
      <w:r>
        <w:t xml:space="preserve">entire computational graph, which is stored in its definition following the</w:t>
      </w:r>
      <w:r>
        <w:t xml:space="preserve"> </w:t>
      </w:r>
      <w:r>
        <w:t xml:space="preserve">network protocol and persisted across sessions.</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46585"/>
                  <wp:effectExtent b="0" l="0" r="0" t="0"/>
                  <wp:docPr descr="" title="" id="29" name="Picture"/>
                  <a:graphic>
                    <a:graphicData uri="http://schemas.openxmlformats.org/drawingml/2006/picture">
                      <pic:pic>
                        <pic:nvPicPr>
                          <pic:cNvPr descr="subnetwork-collapsed.png" id="30" name="Picture"/>
                          <pic:cNvPicPr>
                            <a:picLocks noChangeArrowheads="1" noChangeAspect="1"/>
                          </pic:cNvPicPr>
                        </pic:nvPicPr>
                        <pic:blipFill>
                          <a:blip r:embed="rId28"/>
                          <a:stretch>
                            <a:fillRect/>
                          </a:stretch>
                        </pic:blipFill>
                        <pic:spPr bwMode="auto">
                          <a:xfrm>
                            <a:off x="0" y="0"/>
                            <a:ext cx="2667000" cy="1546585"/>
                          </a:xfrm>
                          <a:prstGeom prst="rect">
                            <a:avLst/>
                          </a:prstGeom>
                          <a:noFill/>
                          <a:ln w="9525">
                            <a:noFill/>
                            <a:headEnd/>
                            <a:tailEnd/>
                          </a:ln>
                        </pic:spPr>
                      </pic:pic>
                    </a:graphicData>
                  </a:graphic>
                </wp:inline>
              </w:drawing>
            </w:r>
          </w:p>
        </w:tc>
        <w:tc>
          <w:tcPr/>
          <w:p>
            <w:pPr>
              <w:pStyle w:val="Compact"/>
              <w:jc w:val="center"/>
            </w:pPr>
            <w:r>
              <w:drawing>
                <wp:inline>
                  <wp:extent cx="2667000" cy="1230586"/>
                  <wp:effectExtent b="0" l="0" r="0" t="0"/>
                  <wp:docPr descr="" title="" id="32" name="Picture"/>
                  <a:graphic>
                    <a:graphicData uri="http://schemas.openxmlformats.org/drawingml/2006/picture">
                      <pic:pic>
                        <pic:nvPicPr>
                          <pic:cNvPr descr="subnetwork-internal.png" id="33" name="Picture"/>
                          <pic:cNvPicPr>
                            <a:picLocks noChangeArrowheads="1" noChangeAspect="1"/>
                          </pic:cNvPicPr>
                        </pic:nvPicPr>
                        <pic:blipFill>
                          <a:blip r:embed="rId31"/>
                          <a:stretch>
                            <a:fillRect/>
                          </a:stretch>
                        </pic:blipFill>
                        <pic:spPr bwMode="auto">
                          <a:xfrm>
                            <a:off x="0" y="0"/>
                            <a:ext cx="2667000" cy="1230586"/>
                          </a:xfrm>
                          <a:prstGeom prst="rect">
                            <a:avLst/>
                          </a:prstGeom>
                          <a:noFill/>
                          <a:ln w="9525">
                            <a:noFill/>
                            <a:headEnd/>
                            <a:tailEnd/>
                          </a:ln>
                        </pic:spPr>
                      </pic:pic>
                    </a:graphicData>
                  </a:graphic>
                </wp:inline>
              </w:drawing>
            </w:r>
          </w:p>
        </w:tc>
      </w:tr>
    </w:tbl>
    <w:p>
      <w:pPr>
        <w:pStyle w:val="ImageCaption"/>
      </w:pPr>
      <w:r>
        <w:t xml:space="preserve">Figure 3: Subnetwork nodes: (a) a collapsed high-level node;</w:t>
      </w:r>
      <w:r>
        <w:t xml:space="preserve"> </w:t>
      </w:r>
      <w:r>
        <w:t xml:space="preserve">(b) the internal lower-level definition of the subnetwork node shown</w:t>
      </w:r>
      <w:r>
        <w:t xml:space="preserve"> </w:t>
      </w:r>
      <w:r>
        <w:t xml:space="preserve">in (a)</w:t>
      </w:r>
    </w:p>
    <w:p>
      <w:pPr>
        <w:pStyle w:val="BodyText"/>
      </w:pPr>
      <w:r>
        <w:t xml:space="preserve">Subnetworks are fully editable in place: the user can enter a subnetwork</w:t>
      </w:r>
      <w:r>
        <w:t xml:space="preserve"> </w:t>
      </w:r>
      <w:r>
        <w:t xml:space="preserve">node and modify its internal graph, navigating arbitrarily nested levels</w:t>
      </w:r>
      <w:r>
        <w:t xml:space="preserve"> </w:t>
      </w:r>
      <w:r>
        <w:t xml:space="preserve">through a breadcrumb bar (Fig. 3). A subnetwork can also be</w:t>
      </w:r>
      <w:r>
        <w:t xml:space="preserve"> </w:t>
      </w:r>
      <w:r>
        <w:rPr>
          <w:i/>
          <w:iCs/>
        </w:rPr>
        <w:t xml:space="preserve">exploded</w:t>
      </w:r>
      <w:r>
        <w:t xml:space="preserve"> </w:t>
      </w:r>
      <w:r>
        <w:t xml:space="preserve">back into its constituent nodes in the parent graph. On</w:t>
      </w:r>
      <w:r>
        <w:t xml:space="preserve"> </w:t>
      </w:r>
      <w:r>
        <w:t xml:space="preserve">export, every node is annotated with a qualified identifier that encodes its</w:t>
      </w:r>
      <w:r>
        <w:t xml:space="preserve"> </w:t>
      </w:r>
      <w:r>
        <w:t xml:space="preserve">position in the nesting hierarchy, which is what allows the per-node</w:t>
      </w:r>
      <w:r>
        <w:t xml:space="preserve"> </w:t>
      </w:r>
      <w:r>
        <w:t xml:space="preserve">execution monitoring described in Sec. 5 to work</w:t>
      </w:r>
      <w:r>
        <w:t xml:space="preserve"> </w:t>
      </w:r>
      <w:r>
        <w:t xml:space="preserve">transparently across nested graphs.</w:t>
      </w:r>
    </w:p>
    <w:p>
      <w:pPr>
        <w:pStyle w:val="BodyText"/>
      </w:pPr>
      <w:r>
        <w:t xml:space="preserve">This mechanism directly realizes the vision of D2.6: an expert user builds a</w:t>
      </w:r>
      <w:r>
        <w:t xml:space="preserve"> </w:t>
      </w:r>
      <w:r>
        <w:t xml:space="preserve">simulation workflow with the low-code editor and collapses it into a single</w:t>
      </w:r>
      <w:r>
        <w:t xml:space="preserve"> </w:t>
      </w:r>
      <w:r>
        <w:t xml:space="preserve">opaque node — for example a complete solver that only exposes a mesh input</w:t>
      </w:r>
      <w:r>
        <w:t xml:space="preserve"> </w:t>
      </w:r>
      <w:r>
        <w:t xml:space="preserve">and a result output — and a non-expert user then operates purely at the</w:t>
      </w:r>
      <w:r>
        <w:t xml:space="preserve"> </w:t>
      </w:r>
      <w:r>
        <w:t xml:space="preserve">no-code level, connecting a few high-level nodes and running the simulation</w:t>
      </w:r>
      <w:r>
        <w:t xml:space="preserve"> </w:t>
      </w:r>
      <w:r>
        <w:t xml:space="preserve">without ever seeing the underlying logic.</w:t>
      </w:r>
    </w:p>
    <w:bookmarkEnd w:id="34"/>
    <w:bookmarkStart w:id="40" w:name="sec:execution"/>
    <w:p>
      <w:pPr>
        <w:pStyle w:val="Heading1"/>
      </w:pPr>
      <w:r>
        <w:rPr>
          <w:rStyle w:val="SectionNumber"/>
        </w:rPr>
        <w:t xml:space="preserve">5</w:t>
      </w:r>
      <w:r>
        <w:tab/>
      </w:r>
      <w:r>
        <w:t xml:space="preserve">Execution modes and meta-scheduling</w:t>
      </w:r>
    </w:p>
    <w:p>
      <w:pPr>
        <w:pStyle w:val="FirstParagraph"/>
      </w:pPr>
      <w:r>
        <w:t xml:space="preserve">The design requirement of a transparent usage of computational resources is</w:t>
      </w:r>
      <w:r>
        <w:t xml:space="preserve"> </w:t>
      </w:r>
      <w:r>
        <w:t xml:space="preserve">implemented by a meta-scheduling layer that supports four execution modes,</w:t>
      </w:r>
      <w:r>
        <w:t xml:space="preserve"> </w:t>
      </w:r>
      <w:r>
        <w:t xml:space="preserve">selected in the application settings and always visible through a dedicated</w:t>
      </w:r>
      <w:r>
        <w:t xml:space="preserve"> </w:t>
      </w:r>
      <w:r>
        <w:t xml:space="preserve">execution badge:</w:t>
      </w:r>
    </w:p>
    <w:p>
      <w:pPr>
        <w:numPr>
          <w:ilvl w:val="0"/>
          <w:numId w:val="1005"/>
        </w:numPr>
      </w:pPr>
      <w:r>
        <w:rPr>
          <w:b/>
          <w:bCs/>
        </w:rPr>
        <w:t xml:space="preserve">Local + CORAL</w:t>
      </w:r>
      <w:r>
        <w:t xml:space="preserve">: the graph is executed by a CORAL binary</w:t>
      </w:r>
      <w:r>
        <w:t xml:space="preserve"> </w:t>
      </w:r>
      <w:r>
        <w:t xml:space="preserve">running directly on the user’s machine;</w:t>
      </w:r>
    </w:p>
    <w:p>
      <w:pPr>
        <w:numPr>
          <w:ilvl w:val="0"/>
          <w:numId w:val="1005"/>
        </w:numPr>
      </w:pPr>
      <w:r>
        <w:rPr>
          <w:b/>
          <w:bCs/>
        </w:rPr>
        <w:t xml:space="preserve">Remote + CORAL</w:t>
      </w:r>
      <w:r>
        <w:t xml:space="preserve">: the graph is submitted over SSH to a</w:t>
      </w:r>
      <w:r>
        <w:t xml:space="preserve"> </w:t>
      </w:r>
      <w:r>
        <w:t xml:space="preserve">remote system, where it is queued through the Slurm workload manager</w:t>
      </w:r>
      <w:r>
        <w:t xml:space="preserve"> </w:t>
      </w:r>
      <w:r>
        <w:t xml:space="preserve">and executed by CORAL;</w:t>
      </w:r>
    </w:p>
    <w:p>
      <w:pPr>
        <w:numPr>
          <w:ilvl w:val="0"/>
          <w:numId w:val="1005"/>
        </w:numPr>
      </w:pPr>
      <w:r>
        <w:rPr>
          <w:b/>
          <w:bCs/>
        </w:rPr>
        <w:t xml:space="preserve">Local + Executable</w:t>
      </w:r>
      <w:r>
        <w:t xml:space="preserve">: any deal.II program following the</w:t>
      </w:r>
      <w:r>
        <w:t xml:space="preserve"> </w:t>
      </w:r>
      <w:r>
        <w:t xml:space="preserve">DealiiX executable contract is run locally;</w:t>
      </w:r>
    </w:p>
    <w:p>
      <w:pPr>
        <w:numPr>
          <w:ilvl w:val="0"/>
          <w:numId w:val="1005"/>
        </w:numPr>
      </w:pPr>
      <w:r>
        <w:rPr>
          <w:b/>
          <w:bCs/>
        </w:rPr>
        <w:t xml:space="preserve">Remote + Executable</w:t>
      </w:r>
      <w:r>
        <w:t xml:space="preserve">: the same, on a remote machine over</w:t>
      </w:r>
      <w:r>
        <w:t xml:space="preserve"> </w:t>
      </w:r>
      <w:r>
        <w:t xml:space="preserve">SSH.</w:t>
      </w:r>
    </w:p>
    <w:p>
      <w:pPr>
        <w:pStyle w:val="FirstParagraph"/>
      </w:pPr>
      <w:r>
        <w:t xml:space="preserve">The</w:t>
      </w:r>
      <w:r>
        <w:t xml:space="preserve"> </w:t>
      </w:r>
      <w:r>
        <w:rPr>
          <w:i/>
          <w:iCs/>
        </w:rPr>
        <w:t xml:space="preserve">executable contract</w:t>
      </w:r>
      <w:r>
        <w:t xml:space="preserve"> </w:t>
      </w:r>
      <w:r>
        <w:t xml:space="preserve">is a deliberately minimal convention that</w:t>
      </w:r>
      <w:r>
        <w:t xml:space="preserve"> </w:t>
      </w:r>
      <w:r>
        <w:t xml:space="preserve">makes existing deal.II applications usable from the platform without</w:t>
      </w:r>
      <w:r>
        <w:t xml:space="preserve"> </w:t>
      </w:r>
      <w:r>
        <w:t xml:space="preserve">modification of the platform itself: when invoked with a parameters file</w:t>
      </w:r>
      <w:r>
        <w:t xml:space="preserve"> </w:t>
      </w:r>
      <w:r>
        <w:t xml:space="preserve">path that does not exist, the program writes a template file containing all</w:t>
      </w:r>
      <w:r>
        <w:t xml:space="preserve"> </w:t>
      </w:r>
      <w:r>
        <w:t xml:space="preserve">its parameters and exits (this is the probing step used to build the</w:t>
      </w:r>
      <w:r>
        <w:t xml:space="preserve"> </w:t>
      </w:r>
      <w:r>
        <w:t xml:space="preserve">parameters panel); when the file exists, the program reads it and runs the</w:t>
      </w:r>
      <w:r>
        <w:t xml:space="preserve"> </w:t>
      </w:r>
      <w:r>
        <w:t xml:space="preserve">simulation. The standard deal.II tutorial step-70 is included in the</w:t>
      </w:r>
      <w:r>
        <w:t xml:space="preserve"> </w:t>
      </w:r>
      <w:r>
        <w:t xml:space="preserve">repository as a reference example and works out of the box.</w:t>
      </w:r>
    </w:p>
    <w:p>
      <w:pPr>
        <w:pStyle w:val="BodyText"/>
      </w:pPr>
      <w:r>
        <w:t xml:space="preserve">For the remote modes, the platform manages the whole job lifecycle. Graph</w:t>
      </w:r>
      <w:r>
        <w:t xml:space="preserve"> </w:t>
      </w:r>
      <w:r>
        <w:t xml:space="preserve">and parameter files are uploaded over SSH (using public key authentication),</w:t>
      </w:r>
      <w:r>
        <w:t xml:space="preserve"> </w:t>
      </w:r>
      <w:r>
        <w:t xml:space="preserve">and a Slurm batch script is generated from a template. Two templates are</w:t>
      </w:r>
      <w:r>
        <w:t xml:space="preserve"> </w:t>
      </w:r>
      <w:r>
        <w:t xml:space="preserve">provided, for serial and MPI execution; when MPI is enabled, the job</w:t>
      </w:r>
      <w:r>
        <w:t xml:space="preserve"> </w:t>
      </w:r>
      <w:r>
        <w:t xml:space="preserve">configuration dialog exposes the number of nodes and tasks per node, and the</w:t>
      </w:r>
      <w:r>
        <w:t xml:space="preserve"> </w:t>
      </w:r>
      <w:r>
        <w:t xml:space="preserve">exported network JSON is annotated with the MPI plugin block required by</w:t>
      </w:r>
      <w:r>
        <w:t xml:space="preserve"> </w:t>
      </w:r>
      <w:r>
        <w:t xml:space="preserve">CORAL for parallel initialization. Submitted jobs are tracked in a</w:t>
      </w:r>
      <w:r>
        <w:t xml:space="preserve"> </w:t>
      </w:r>
      <w:r>
        <w:t xml:space="preserve">persistent jobs table (Fig. 4) showing scheduler status (pending,</w:t>
      </w:r>
      <w:r>
        <w:t xml:space="preserve"> </w:t>
      </w:r>
      <w:r>
        <w:t xml:space="preserve">running, completed, failed, cancelled), submission and completion times, and</w:t>
      </w:r>
      <w:r>
        <w:t xml:space="preserve"> </w:t>
      </w:r>
      <w:r>
        <w:t xml:space="preserve">the backend used.</w:t>
      </w:r>
      <w:r>
        <w:t xml:space="preserve"> </w:t>
      </w:r>
      <w:r>
        <w:t xml:space="preserve">For CORAL jobs, the execution status of every individual node of the graph</w:t>
      </w:r>
      <w:r>
        <w:t xml:space="preserve"> </w:t>
      </w:r>
      <w:r>
        <w:t xml:space="preserve">— including nodes nested inside subnetworks, via their qualified</w:t>
      </w:r>
      <w:r>
        <w:t xml:space="preserve"> </w:t>
      </w:r>
      <w:r>
        <w:t xml:space="preserve">identifiers — can be inspected from the interface, and the standard output</w:t>
      </w:r>
      <w:r>
        <w:t xml:space="preserve"> </w:t>
      </w:r>
      <w:r>
        <w:t xml:space="preserve">of the job can be opened directly in the application.</w:t>
      </w:r>
    </w:p>
    <w:bookmarkStart w:id="38" w:name="jobs"/>
    <w:p>
      <w:pPr>
        <w:pStyle w:val="CaptionedFigure"/>
      </w:pPr>
      <w:r>
        <w:drawing>
          <wp:inline>
            <wp:extent cx="5334000" cy="2833584"/>
            <wp:effectExtent b="0" l="0" r="0" t="0"/>
            <wp:docPr descr="" title="" id="36" name="Picture"/>
            <a:graphic>
              <a:graphicData uri="http://schemas.openxmlformats.org/drawingml/2006/picture">
                <pic:pic>
                  <pic:nvPicPr>
                    <pic:cNvPr descr="jobs.png" id="37" name="Picture"/>
                    <pic:cNvPicPr>
                      <a:picLocks noChangeArrowheads="1" noChangeAspect="1"/>
                    </pic:cNvPicPr>
                  </pic:nvPicPr>
                  <pic:blipFill>
                    <a:blip r:embed="rId35"/>
                    <a:stretch>
                      <a:fillRect/>
                    </a:stretch>
                  </pic:blipFill>
                  <pic:spPr bwMode="auto">
                    <a:xfrm>
                      <a:off x="0" y="0"/>
                      <a:ext cx="5334000" cy="2833584"/>
                    </a:xfrm>
                    <a:prstGeom prst="rect">
                      <a:avLst/>
                    </a:prstGeom>
                    <a:noFill/>
                    <a:ln w="9525">
                      <a:noFill/>
                      <a:headEnd/>
                      <a:tailEnd/>
                    </a:ln>
                  </pic:spPr>
                </pic:pic>
              </a:graphicData>
            </a:graphic>
          </wp:inline>
        </w:drawing>
      </w:r>
    </w:p>
    <w:p>
      <w:pPr>
        <w:pStyle w:val="ImageCaption"/>
      </w:pPr>
      <w:r>
        <w:t xml:space="preserve">Figure 4: Job monitoring: jobs table and per-node execution status</w:t>
      </w:r>
    </w:p>
    <w:bookmarkEnd w:id="38"/>
    <w:p>
      <w:pPr>
        <w:pStyle w:val="BodyText"/>
      </w:pPr>
      <w:r>
        <w:t xml:space="preserve">Two deployment scenarios have been exercised during the testing phase. The</w:t>
      </w:r>
      <w:r>
        <w:t xml:space="preserve"> </w:t>
      </w:r>
      <w:r>
        <w:t xml:space="preserve">first is a containerized environment, distributed with the platform, in</w:t>
      </w:r>
      <w:r>
        <w:t xml:space="preserve"> </w:t>
      </w:r>
      <w:r>
        <w:t xml:space="preserve">which a Docker container runs CORAL together with a complete Slurm</w:t>
      </w:r>
      <w:r>
        <w:t xml:space="preserve"> </w:t>
      </w:r>
      <w:r>
        <w:t xml:space="preserve">installation and an SSH server; this reproduces the interaction with a</w:t>
      </w:r>
      <w:r>
        <w:t xml:space="preserve"> </w:t>
      </w:r>
      <w:r>
        <w:t xml:space="preserve">remote batch-scheduled cluster faithfully enough to develop and test the</w:t>
      </w:r>
      <w:r>
        <w:t xml:space="preserve"> </w:t>
      </w:r>
      <w:r>
        <w:t xml:space="preserve">whole submission and monitoring path on a single machine. The second is an</w:t>
      </w:r>
      <w:r>
        <w:t xml:space="preserve"> </w:t>
      </w:r>
      <w:r>
        <w:t xml:space="preserve">HPC cluster, on which the same containers have been deployed and reached</w:t>
      </w:r>
      <w:r>
        <w:t xml:space="preserve"> </w:t>
      </w:r>
      <w:r>
        <w:t xml:space="preserve">over SSH, with the procedure documented step by step in the platform</w:t>
      </w:r>
      <w:r>
        <w:t xml:space="preserve"> </w:t>
      </w:r>
      <w:r>
        <w:t xml:space="preserve">repository:</w:t>
      </w:r>
      <w:r>
        <w:t xml:space="preserve"> </w:t>
      </w:r>
      <w:hyperlink r:id="rId39">
        <w:r>
          <w:rPr>
            <w:rStyle w:val="Hyperlink"/>
          </w:rPr>
          <w:t xml:space="preserve">https://github.com/2listic/dealiiX-platform/blob/main/docs/remote-setup.md</w:t>
        </w:r>
      </w:hyperlink>
      <w:r>
        <w:t xml:space="preserve">.</w:t>
      </w:r>
      <w:r>
        <w:t xml:space="preserve"> </w:t>
      </w:r>
      <w:r>
        <w:t xml:space="preserve">Since the platform assumes only SSH access and a Slurm scheduler, the same</w:t>
      </w:r>
      <w:r>
        <w:t xml:space="preserve"> </w:t>
      </w:r>
      <w:r>
        <w:t xml:space="preserve">mechanism applies to other production HPC systems.</w:t>
      </w:r>
    </w:p>
    <w:p>
      <w:pPr>
        <w:pStyle w:val="BodyText"/>
      </w:pPr>
      <w:r>
        <w:t xml:space="preserve">The layer described so far executes a single computational unit (a graph or</w:t>
      </w:r>
      <w:r>
        <w:t xml:space="preserve"> </w:t>
      </w:r>
      <w:r>
        <w:t xml:space="preserve">an executable) per submission. Its natural extension is the</w:t>
      </w:r>
      <w:r>
        <w:t xml:space="preserve"> </w:t>
      </w:r>
      <w:r>
        <w:t xml:space="preserve">orchestration of several such units, and this is the purpose of the pipeline</w:t>
      </w:r>
      <w:r>
        <w:t xml:space="preserve"> </w:t>
      </w:r>
      <w:r>
        <w:t xml:space="preserve">mode described in Sec. 7. At the time of writing the</w:t>
      </w:r>
      <w:r>
        <w:t xml:space="preserve"> </w:t>
      </w:r>
      <w:r>
        <w:t xml:space="preserve">orchestrator has been designed but not yet developed: the design defines the</w:t>
      </w:r>
      <w:r>
        <w:t xml:space="preserve"> </w:t>
      </w:r>
      <w:r>
        <w:t xml:space="preserve">pipeline stages, the ordering edges between them and the translation of the</w:t>
      </w:r>
      <w:r>
        <w:t xml:space="preserve"> </w:t>
      </w:r>
      <w:r>
        <w:t xml:space="preserve">resulting graph into a chain of dependent scheduler jobs, while the</w:t>
      </w:r>
      <w:r>
        <w:t xml:space="preserve"> </w:t>
      </w:r>
      <w:r>
        <w:t xml:space="preserve">implementation is deliberately left to the final phase of the project, so</w:t>
      </w:r>
      <w:r>
        <w:t xml:space="preserve"> </w:t>
      </w:r>
      <w:r>
        <w:t xml:space="preserve">that it can be shaped by the feedback of the users who will operate it.</w:t>
      </w:r>
    </w:p>
    <w:bookmarkEnd w:id="40"/>
    <w:bookmarkStart w:id="45" w:name="collaborative-and-visualization-services"/>
    <w:p>
      <w:pPr>
        <w:pStyle w:val="Heading1"/>
      </w:pPr>
      <w:r>
        <w:rPr>
          <w:rStyle w:val="SectionNumber"/>
        </w:rPr>
        <w:t xml:space="preserve">6</w:t>
      </w:r>
      <w:r>
        <w:tab/>
      </w:r>
      <w:r>
        <w:t xml:space="preserve">Collaborative and visualization services</w:t>
      </w:r>
    </w:p>
    <w:p>
      <w:pPr>
        <w:pStyle w:val="FirstParagraph"/>
      </w:pPr>
      <w:r>
        <w:t xml:space="preserve">The collaborative space requirement is served by the Coral Remote Server, a</w:t>
      </w:r>
      <w:r>
        <w:t xml:space="preserve"> </w:t>
      </w:r>
      <w:r>
        <w:t xml:space="preserve">lightweight REST service with JWT-based authentication. From the</w:t>
      </w:r>
      <w:r>
        <w:t xml:space="preserve"> </w:t>
      </w:r>
      <w:r>
        <w:t xml:space="preserve">application, users can register and log in, create projects, and save and</w:t>
      </w:r>
      <w:r>
        <w:t xml:space="preserve"> </w:t>
      </w:r>
      <w:r>
        <w:t xml:space="preserve">load computational graphs to and from the server. Projects can be renamed,</w:t>
      </w:r>
      <w:r>
        <w:t xml:space="preserve"> </w:t>
      </w:r>
      <w:r>
        <w:t xml:space="preserve">described, deleted, and — crucially for the collaborative workflows</w:t>
      </w:r>
      <w:r>
        <w:t xml:space="preserve"> </w:t>
      </w:r>
      <w:r>
        <w:t xml:space="preserve">envisioned in D2.6 — shared with other users with read or write</w:t>
      </w:r>
      <w:r>
        <w:t xml:space="preserve"> </w:t>
      </w:r>
      <w:r>
        <w:t xml:space="preserve">permissions. This allows, for instance, an expert user to prepare and share</w:t>
      </w:r>
      <w:r>
        <w:t xml:space="preserve"> </w:t>
      </w:r>
      <w:r>
        <w:t xml:space="preserve">a validated simulation workflow that a colleague can open and run without</w:t>
      </w:r>
      <w:r>
        <w:t xml:space="preserve"> </w:t>
      </w:r>
      <w:r>
        <w:t xml:space="preserve">rebuilding it.</w:t>
      </w:r>
    </w:p>
    <w:bookmarkStart w:id="44" w:name="visualizer"/>
    <w:p>
      <w:pPr>
        <w:pStyle w:val="CaptionedFigure"/>
      </w:pPr>
      <w:r>
        <w:drawing>
          <wp:inline>
            <wp:extent cx="5334000" cy="3042413"/>
            <wp:effectExtent b="0" l="0" r="0" t="0"/>
            <wp:docPr descr="" title="" id="42" name="Picture"/>
            <a:graphic>
              <a:graphicData uri="http://schemas.openxmlformats.org/drawingml/2006/picture">
                <pic:pic>
                  <pic:nvPicPr>
                    <pic:cNvPr descr="visualizer-poisson.png" id="43" name="Picture"/>
                    <pic:cNvPicPr>
                      <a:picLocks noChangeArrowheads="1" noChangeAspect="1"/>
                    </pic:cNvPicPr>
                  </pic:nvPicPr>
                  <pic:blipFill>
                    <a:blip r:embed="rId41"/>
                    <a:stretch>
                      <a:fillRect/>
                    </a:stretch>
                  </pic:blipFill>
                  <pic:spPr bwMode="auto">
                    <a:xfrm>
                      <a:off x="0" y="0"/>
                      <a:ext cx="5334000" cy="3042413"/>
                    </a:xfrm>
                    <a:prstGeom prst="rect">
                      <a:avLst/>
                    </a:prstGeom>
                    <a:noFill/>
                    <a:ln w="9525">
                      <a:noFill/>
                      <a:headEnd/>
                      <a:tailEnd/>
                    </a:ln>
                  </pic:spPr>
                </pic:pic>
              </a:graphicData>
            </a:graphic>
          </wp:inline>
        </w:drawing>
      </w:r>
    </w:p>
    <w:p>
      <w:pPr>
        <w:pStyle w:val="ImageCaption"/>
      </w:pPr>
      <w:r>
        <w:t xml:space="preserve">Figure 5: Poisson solution in the Coral Visualizer as a result of the</w:t>
      </w:r>
      <w:r>
        <w:t xml:space="preserve"> </w:t>
      </w:r>
      <w:r>
        <w:t xml:space="preserve">workflow of Fig. 2</w:t>
      </w:r>
    </w:p>
    <w:bookmarkEnd w:id="44"/>
    <w:p>
      <w:pPr>
        <w:pStyle w:val="BodyText"/>
      </w:pPr>
      <w:r>
        <w:t xml:space="preserve">Simulation results are inspected through the Coral Visualizer</w:t>
      </w:r>
      <w:r>
        <w:t xml:space="preserve"> </w:t>
      </w:r>
      <w:r>
        <w:t xml:space="preserve">(Fig. 5), a web-based viewer for VTK/deal.II output formats</w:t>
      </w:r>
      <w:r>
        <w:t xml:space="preserve"> </w:t>
      </w:r>
      <w:r>
        <w:t xml:space="preserve">(</w:t>
      </w:r>
      <w:r>
        <w:rPr>
          <w:rStyle w:val="VerbatimChar"/>
        </w:rPr>
        <w:t xml:space="preserve">.vtk</w:t>
      </w:r>
      <w:r>
        <w:t xml:space="preserve">,</w:t>
      </w:r>
      <w:r>
        <w:t xml:space="preserve"> </w:t>
      </w:r>
      <w:r>
        <w:rPr>
          <w:rStyle w:val="VerbatimChar"/>
        </w:rPr>
        <w:t xml:space="preserve">.vtu</w:t>
      </w:r>
      <w:r>
        <w:t xml:space="preserve">), reachable directly from the application. During the reporting period the</w:t>
      </w:r>
      <w:r>
        <w:t xml:space="preserve"> </w:t>
      </w:r>
      <w:r>
        <w:t xml:space="preserve">visualizer has been substantially extended with a ParaView-based rendering</w:t>
      </w:r>
      <w:r>
        <w:t xml:space="preserve"> </w:t>
      </w:r>
      <w:r>
        <w:t xml:space="preserve">backend providing filters, visualization pipelines, solution field</w:t>
      </w:r>
      <w:r>
        <w:t xml:space="preserve"> </w:t>
      </w:r>
      <w:r>
        <w:t xml:space="preserve">rendering, cell manipulation and edit sessions, while retaining a</w:t>
      </w:r>
      <w:r>
        <w:t xml:space="preserve"> </w:t>
      </w:r>
      <w:r>
        <w:t xml:space="preserve">lightweight VTK backend for local usage. The visualizer has been tested with</w:t>
      </w:r>
      <w:r>
        <w:t xml:space="preserve"> </w:t>
      </w:r>
      <w:r>
        <w:t xml:space="preserve">project-relevant datasets, including vascular geometries such as carotid</w:t>
      </w:r>
      <w:r>
        <w:t xml:space="preserve"> </w:t>
      </w:r>
      <w:r>
        <w:t xml:space="preserve">artery meshes.</w:t>
      </w:r>
    </w:p>
    <w:bookmarkEnd w:id="45"/>
    <w:bookmarkStart w:id="50" w:name="sec:validation"/>
    <w:p>
      <w:pPr>
        <w:pStyle w:val="Heading1"/>
      </w:pPr>
      <w:r>
        <w:rPr>
          <w:rStyle w:val="SectionNumber"/>
        </w:rPr>
        <w:t xml:space="preserve">7</w:t>
      </w:r>
      <w:r>
        <w:tab/>
      </w:r>
      <w:r>
        <w:t xml:space="preserve">Testing with the lighthouse applications and</w:t>
      </w:r>
      <w:r>
        <w:t xml:space="preserve"> </w:t>
      </w:r>
      <w:r>
        <w:t xml:space="preserve">early-user feedback</w:t>
      </w:r>
    </w:p>
    <w:p>
      <w:pPr>
        <w:pStyle w:val="FirstParagraph"/>
      </w:pPr>
      <w:r>
        <w:t xml:space="preserve">A central goal of the PoC platform is that a user without deep knowledge of</w:t>
      </w:r>
      <w:r>
        <w:t xml:space="preserve"> </w:t>
      </w:r>
      <w:r>
        <w:t xml:space="preserve">the underlying simulation codes, and without the ability to write deal.II</w:t>
      </w:r>
      <w:r>
        <w:t xml:space="preserve"> </w:t>
      </w:r>
      <w:r>
        <w:t xml:space="preserve">code or to assemble a computational graph, should still be able to</w:t>
      </w:r>
      <w:r>
        <w:t xml:space="preserve"> </w:t>
      </w:r>
      <w:r>
        <w:t xml:space="preserve">configure and run a complete simulation. The executable mode described in</w:t>
      </w:r>
      <w:r>
        <w:t xml:space="preserve"> </w:t>
      </w:r>
      <w:r>
        <w:t xml:space="preserve">Sec. 5 realizes this goal directly: given a program that</w:t>
      </w:r>
      <w:r>
        <w:t xml:space="preserve"> </w:t>
      </w:r>
      <w:r>
        <w:t xml:space="preserve">follows the executable contract, the platform probes it for its parameter</w:t>
      </w:r>
      <w:r>
        <w:t xml:space="preserve"> </w:t>
      </w:r>
      <w:r>
        <w:t xml:space="preserve">tree, presents that tree in the parameters panel in either JSON or</w:t>
      </w:r>
      <w:r>
        <w:t xml:space="preserve"> </w:t>
      </w:r>
      <w:r>
        <w:rPr>
          <w:rStyle w:val="VerbatimChar"/>
        </w:rPr>
        <w:t xml:space="preserve">.prm</w:t>
      </w:r>
      <w:r>
        <w:t xml:space="preserve"> </w:t>
      </w:r>
      <w:r>
        <w:t xml:space="preserve">form, and dispatches the run to the selected local or remote</w:t>
      </w:r>
      <w:r>
        <w:t xml:space="preserve"> </w:t>
      </w:r>
      <w:r>
        <w:t xml:space="preserve">target through the meta-scheduling layer, with monitoring and output</w:t>
      </w:r>
      <w:r>
        <w:t xml:space="preserve"> </w:t>
      </w:r>
      <w:r>
        <w:t xml:space="preserve">retrieval available from the same interface. The interaction is reduced to</w:t>
      </w:r>
      <w:r>
        <w:t xml:space="preserve"> </w:t>
      </w:r>
      <w:r>
        <w:t xml:space="preserve">editing parameters and pressing run.</w:t>
      </w:r>
    </w:p>
    <w:p>
      <w:pPr>
        <w:pStyle w:val="BodyText"/>
      </w:pPr>
      <w:r>
        <w:t xml:space="preserve">This path has been tested on two of the dealii-X lighthouse applications,</w:t>
      </w:r>
      <w:r>
        <w:t xml:space="preserve"> </w:t>
      </w:r>
      <w:r>
        <w:t xml:space="preserve">brain and liver (</w:t>
      </w:r>
      <w:r>
        <w:rPr>
          <w:rStyle w:val="VerbatimChar"/>
        </w:rPr>
        <w:t xml:space="preserve">immersx</w:t>
      </w:r>
      <w:r>
        <w:t xml:space="preserve">, elasticity solver), and on the deal.II</w:t>
      </w:r>
      <w:r>
        <w:t xml:space="preserve"> </w:t>
      </w:r>
      <w:r>
        <w:t xml:space="preserve">tutorial program step-70, which is included in the repository as a reference</w:t>
      </w:r>
      <w:r>
        <w:t xml:space="preserve"> </w:t>
      </w:r>
      <w:r>
        <w:t xml:space="preserve">example of the contract. Output from these runs was inspected through the</w:t>
      </w:r>
      <w:r>
        <w:t xml:space="preserve"> </w:t>
      </w:r>
      <w:r>
        <w:t xml:space="preserve">Coral Visualizer; Fig. 6 shows results from the brain application.</w:t>
      </w:r>
      <w:r>
        <w:t xml:space="preserve"> </w:t>
      </w:r>
      <w:r>
        <w:t xml:space="preserve">Because the contract requires no platform-side development per application,</w:t>
      </w:r>
      <w:r>
        <w:t xml:space="preserve"> </w:t>
      </w:r>
      <w:r>
        <w:t xml:space="preserve">support in executable mode is a property of the mechanism rather than of a</w:t>
      </w:r>
      <w:r>
        <w:t xml:space="preserve"> </w:t>
      </w:r>
      <w:r>
        <w:t xml:space="preserve">per-application integration effort: the heart (</w:t>
      </w:r>
      <w:r>
        <w:rPr>
          <w:rStyle w:val="VerbatimChar"/>
        </w:rPr>
        <w:t xml:space="preserve">lifex</w:t>
      </w:r>
      <w:r>
        <w:t xml:space="preserve">,</w:t>
      </w:r>
      <w:r>
        <w:t xml:space="preserve"> </w:t>
      </w:r>
      <w:r>
        <w:rPr>
          <w:rStyle w:val="VerbatimChar"/>
        </w:rPr>
        <w:t xml:space="preserve">.prm</w:t>
      </w:r>
      <w:r>
        <w:t xml:space="preserve"> </w:t>
      </w:r>
      <w:r>
        <w:t xml:space="preserve">input) and lungs (</w:t>
      </w:r>
      <w:r>
        <w:rPr>
          <w:rStyle w:val="VerbatimChar"/>
        </w:rPr>
        <w:t xml:space="preserve">exadg</w:t>
      </w:r>
      <w:r>
        <w:t xml:space="preserve">, JSON input) applications</w:t>
      </w:r>
      <w:r>
        <w:t xml:space="preserve"> </w:t>
      </w:r>
      <w:r>
        <w:t xml:space="preserve">comply with the same parameter-file convention and are expected to work</w:t>
      </w:r>
      <w:r>
        <w:t xml:space="preserve"> </w:t>
      </w:r>
      <w:r>
        <w:t xml:space="preserve">without changes to the platform.</w:t>
      </w:r>
    </w:p>
    <w:bookmarkStart w:id="49" w:name="brain"/>
    <w:p>
      <w:pPr>
        <w:pStyle w:val="CaptionedFigure"/>
      </w:pPr>
      <w:r>
        <w:drawing>
          <wp:inline>
            <wp:extent cx="5334000" cy="3348903"/>
            <wp:effectExtent b="0" l="0" r="0" t="0"/>
            <wp:docPr descr="" title="" id="47" name="Picture"/>
            <a:graphic>
              <a:graphicData uri="http://schemas.openxmlformats.org/drawingml/2006/picture">
                <pic:pic>
                  <pic:nvPicPr>
                    <pic:cNvPr descr="brain.png" id="48" name="Picture"/>
                    <pic:cNvPicPr>
                      <a:picLocks noChangeArrowheads="1" noChangeAspect="1"/>
                    </pic:cNvPicPr>
                  </pic:nvPicPr>
                  <pic:blipFill>
                    <a:blip r:embed="rId46"/>
                    <a:stretch>
                      <a:fillRect/>
                    </a:stretch>
                  </pic:blipFill>
                  <pic:spPr bwMode="auto">
                    <a:xfrm>
                      <a:off x="0" y="0"/>
                      <a:ext cx="5334000" cy="3348903"/>
                    </a:xfrm>
                    <a:prstGeom prst="rect">
                      <a:avLst/>
                    </a:prstGeom>
                    <a:noFill/>
                    <a:ln w="9525">
                      <a:noFill/>
                      <a:headEnd/>
                      <a:tailEnd/>
                    </a:ln>
                  </pic:spPr>
                </pic:pic>
              </a:graphicData>
            </a:graphic>
          </wp:inline>
        </w:drawing>
      </w:r>
    </w:p>
    <w:p>
      <w:pPr>
        <w:pStyle w:val="ImageCaption"/>
      </w:pPr>
      <w:r>
        <w:t xml:space="preserve">Figure 6: Results of the brain lighthouse application, inspected in the</w:t>
      </w:r>
      <w:r>
        <w:t xml:space="preserve"> </w:t>
      </w:r>
      <w:r>
        <w:t xml:space="preserve">Coral Visualizer</w:t>
      </w:r>
    </w:p>
    <w:bookmarkEnd w:id="49"/>
    <w:p>
      <w:pPr>
        <w:pStyle w:val="BodyText"/>
      </w:pPr>
      <w:r>
        <w:t xml:space="preserve">Testing also showed that the executable mode and the node editor should not</w:t>
      </w:r>
      <w:r>
        <w:t xml:space="preserve"> </w:t>
      </w:r>
      <w:r>
        <w:t xml:space="preserve">remain two disjoint ways of using the platform. The observation that emerged</w:t>
      </w:r>
      <w:r>
        <w:t xml:space="preserve"> </w:t>
      </w:r>
      <w:r>
        <w:t xml:space="preserve">most clearly is that an executable is itself a natural unit of composition</w:t>
      </w:r>
      <w:r>
        <w:t xml:space="preserve"> </w:t>
      </w:r>
      <w:r>
        <w:t xml:space="preserve">(a black box with parameters, a run and an output), and therefore a</w:t>
      </w:r>
      <w:r>
        <w:t xml:space="preserve"> </w:t>
      </w:r>
      <w:r>
        <w:t xml:space="preserve">natural candidate to become a node. This has led to the design of a</w:t>
      </w:r>
      <w:r>
        <w:t xml:space="preserve"> </w:t>
      </w:r>
      <w:r>
        <w:rPr>
          <w:i/>
          <w:iCs/>
        </w:rPr>
        <w:t xml:space="preserve">pipeline mode</w:t>
      </w:r>
      <w:r>
        <w:t xml:space="preserve">, currently under development, in which a higher-level</w:t>
      </w:r>
      <w:r>
        <w:t xml:space="preserve"> </w:t>
      </w:r>
      <w:r>
        <w:t xml:space="preserve">directed acyclic graph is built whose nodes are entire computational units:</w:t>
      </w:r>
      <w:r>
        <w:t xml:space="preserve"> </w:t>
      </w:r>
      <w:r>
        <w:t xml:space="preserve">either a complete CORAL graph or a standalone executable. Edges express</w:t>
      </w:r>
      <w:r>
        <w:t xml:space="preserve"> </w:t>
      </w:r>
      <w:r>
        <w:t xml:space="preserve">execution order, and the resulting graph is topologically sorted and</w:t>
      </w:r>
      <w:r>
        <w:t xml:space="preserve"> </w:t>
      </w:r>
      <w:r>
        <w:t xml:space="preserve">submitted to the scheduler as a chain of dependent jobs, giving the</w:t>
      </w:r>
      <w:r>
        <w:t xml:space="preserve"> </w:t>
      </w:r>
      <w:r>
        <w:t xml:space="preserve">meta-scheduler an orchestration capability that neither CORAL nor a single</w:t>
      </w:r>
      <w:r>
        <w:t xml:space="preserve"> </w:t>
      </w:r>
      <w:r>
        <w:t xml:space="preserve">executable provides on its own. Pipeline mode is a node editor in its own</w:t>
      </w:r>
      <w:r>
        <w:t xml:space="preserve"> </w:t>
      </w:r>
      <w:r>
        <w:t xml:space="preserve">right, built on the same canvas technology as the low-code editor, and is</w:t>
      </w:r>
      <w:r>
        <w:t xml:space="preserve"> </w:t>
      </w:r>
      <w:r>
        <w:t xml:space="preserve">therefore positioned to reuse the interaction features already available</w:t>
      </w:r>
      <w:r>
        <w:t xml:space="preserve"> </w:t>
      </w:r>
      <w:r>
        <w:t xml:space="preserve">there. In this way a lighthouse application driven in executable mode ceases</w:t>
      </w:r>
      <w:r>
        <w:t xml:space="preserve"> </w:t>
      </w:r>
      <w:r>
        <w:t xml:space="preserve">to be an alternative to the graph paradigm and becomes a component within</w:t>
      </w:r>
      <w:r>
        <w:t xml:space="preserve"> </w:t>
      </w:r>
      <w:r>
        <w:t xml:space="preserve">it.</w:t>
      </w:r>
    </w:p>
    <w:p>
      <w:pPr>
        <w:pStyle w:val="BodyText"/>
      </w:pPr>
      <w:r>
        <w:t xml:space="preserve">Feedback collected from project partners during the testing phase was</w:t>
      </w:r>
      <w:r>
        <w:t xml:space="preserve"> </w:t>
      </w:r>
      <w:r>
        <w:t xml:space="preserve">consistently positive on the central proposition of D2.6, and converged with</w:t>
      </w:r>
      <w:r>
        <w:t xml:space="preserve"> </w:t>
      </w:r>
      <w:r>
        <w:t xml:space="preserve">the development team’s own findings on the priorities for the final phase,</w:t>
      </w:r>
      <w:r>
        <w:t xml:space="preserve"> </w:t>
      </w:r>
      <w:r>
        <w:t xml:space="preserve">in particular MPI support in executable mode, the enrichment of the node</w:t>
      </w:r>
      <w:r>
        <w:t xml:space="preserve"> </w:t>
      </w:r>
      <w:r>
        <w:t xml:space="preserve">registries, and the consolidation of pipeline mode described above, which</w:t>
      </w:r>
      <w:r>
        <w:t xml:space="preserve"> </w:t>
      </w:r>
      <w:r>
        <w:t xml:space="preserve">originated as a suggestion during this phase.</w:t>
      </w:r>
    </w:p>
    <w:bookmarkEnd w:id="50"/>
    <w:bookmarkStart w:id="51" w:name="Xca75d854c3b1439187496586adb182640c558a9"/>
    <w:p>
      <w:pPr>
        <w:pStyle w:val="Heading1"/>
      </w:pPr>
      <w:r>
        <w:rPr>
          <w:rStyle w:val="SectionNumber"/>
        </w:rPr>
        <w:t xml:space="preserve">8</w:t>
      </w:r>
      <w:r>
        <w:tab/>
      </w:r>
      <w:r>
        <w:t xml:space="preserve">Packaging, deployment and quality assurance</w:t>
      </w:r>
    </w:p>
    <w:p>
      <w:pPr>
        <w:pStyle w:val="FirstParagraph"/>
      </w:pPr>
      <w:r>
        <w:t xml:space="preserve">The platform is distributed as native installers for Linux</w:t>
      </w:r>
      <w:r>
        <w:t xml:space="preserve"> </w:t>
      </w:r>
      <w:r>
        <w:t xml:space="preserve">(</w:t>
      </w:r>
      <w:r>
        <w:rPr>
          <w:rStyle w:val="VerbatimChar"/>
        </w:rPr>
        <w:t xml:space="preserve">.deb</w:t>
      </w:r>
      <w:r>
        <w:t xml:space="preserve">) and macOS (</w:t>
      </w:r>
      <w:r>
        <w:rPr>
          <w:rStyle w:val="VerbatimChar"/>
        </w:rPr>
        <w:t xml:space="preserve">.dmg</w:t>
      </w:r>
      <w:r>
        <w:t xml:space="preserve">), produced by an automated release</w:t>
      </w:r>
      <w:r>
        <w:t xml:space="preserve"> </w:t>
      </w:r>
      <w:r>
        <w:t xml:space="preserve">pipeline: tagging a version on the main branch triggers GitHub Actions</w:t>
      </w:r>
      <w:r>
        <w:t xml:space="preserve"> </w:t>
      </w:r>
      <w:r>
        <w:t xml:space="preserve">workflows that run the full check and test suite, build the application, and</w:t>
      </w:r>
      <w:r>
        <w:t xml:space="preserve"> </w:t>
      </w:r>
      <w:r>
        <w:t xml:space="preserve">attach the installers to a public GitHub release. For evaluation and</w:t>
      </w:r>
      <w:r>
        <w:t xml:space="preserve"> </w:t>
      </w:r>
      <w:r>
        <w:t xml:space="preserve">testing, the full server-side stack (CORAL with Slurm and SSH, the remote</w:t>
      </w:r>
      <w:r>
        <w:t xml:space="preserve"> </w:t>
      </w:r>
      <w:r>
        <w:t xml:space="preserve">server, and the visualizer) is started with a single</w:t>
      </w:r>
      <w:r>
        <w:t xml:space="preserve"> </w:t>
      </w:r>
      <w:r>
        <w:rPr>
          <w:rStyle w:val="VerbatimChar"/>
        </w:rPr>
        <w:t xml:space="preserve">docker compose up</w:t>
      </w:r>
      <w:r>
        <w:t xml:space="preserve"> </w:t>
      </w:r>
      <w:r>
        <w:t xml:space="preserve">command.</w:t>
      </w:r>
    </w:p>
    <w:p>
      <w:pPr>
        <w:pStyle w:val="BodyText"/>
      </w:pPr>
      <w:r>
        <w:t xml:space="preserve">Six versions have been released during the reporting period, following the</w:t>
      </w:r>
      <w:r>
        <w:t xml:space="preserve"> </w:t>
      </w:r>
      <w:r>
        <w:t xml:space="preserve">iterative plan of D2.6:</w:t>
      </w:r>
    </w:p>
    <w:p>
      <w:pPr>
        <w:numPr>
          <w:ilvl w:val="0"/>
          <w:numId w:val="1006"/>
        </w:numPr>
      </w:pPr>
      <w:r>
        <w:rPr>
          <w:b/>
          <w:bCs/>
        </w:rPr>
        <w:t xml:space="preserve">1.0.9</w:t>
      </w:r>
      <w:r>
        <w:t xml:space="preserve"> </w:t>
      </w:r>
      <w:r>
        <w:t xml:space="preserve">(September 2025): first packaged version — canvas</w:t>
      </w:r>
      <w:r>
        <w:t xml:space="preserve"> </w:t>
      </w:r>
      <w:r>
        <w:t xml:space="preserve">editor with typed validation, deal.II nodes, SSH execution;</w:t>
      </w:r>
    </w:p>
    <w:p>
      <w:pPr>
        <w:numPr>
          <w:ilvl w:val="0"/>
          <w:numId w:val="1006"/>
        </w:numPr>
      </w:pPr>
      <w:r>
        <w:rPr>
          <w:b/>
          <w:bCs/>
        </w:rPr>
        <w:t xml:space="preserve">1.1.0</w:t>
      </w:r>
      <w:r>
        <w:t xml:space="preserve"> </w:t>
      </w:r>
      <w:r>
        <w:t xml:space="preserve">(January 2026): remote server integration</w:t>
      </w:r>
      <w:r>
        <w:t xml:space="preserve"> </w:t>
      </w:r>
      <w:r>
        <w:t xml:space="preserve">(authentication, projects, sharing), jobs panel, protocol</w:t>
      </w:r>
      <w:r>
        <w:t xml:space="preserve"> </w:t>
      </w:r>
      <w:r>
        <w:t xml:space="preserve">simplification;</w:t>
      </w:r>
    </w:p>
    <w:p>
      <w:pPr>
        <w:numPr>
          <w:ilvl w:val="0"/>
          <w:numId w:val="1006"/>
        </w:numPr>
      </w:pPr>
      <w:r>
        <w:rPr>
          <w:b/>
          <w:bCs/>
        </w:rPr>
        <w:t xml:space="preserve">1.2.0</w:t>
      </w:r>
      <w:r>
        <w:t xml:space="preserve"> </w:t>
      </w:r>
      <w:r>
        <w:t xml:space="preserve">(January 2026): network (subnetwork) nodes, graph</w:t>
      </w:r>
      <w:r>
        <w:t xml:space="preserve"> </w:t>
      </w:r>
      <w:r>
        <w:t xml:space="preserve">download, unit testing infrastructure;</w:t>
      </w:r>
    </w:p>
    <w:p>
      <w:pPr>
        <w:numPr>
          <w:ilvl w:val="0"/>
          <w:numId w:val="1006"/>
        </w:numPr>
      </w:pPr>
      <w:r>
        <w:rPr>
          <w:b/>
          <w:bCs/>
        </w:rPr>
        <w:t xml:space="preserve">1.3.0</w:t>
      </w:r>
      <w:r>
        <w:t xml:space="preserve"> </w:t>
      </w:r>
      <w:r>
        <w:t xml:space="preserve">(March 2026): MPI support, persistent jobs with</w:t>
      </w:r>
      <w:r>
        <w:t xml:space="preserve"> </w:t>
      </w:r>
      <w:r>
        <w:t xml:space="preserve">per-node execution status, job log inspection, parameter handling;</w:t>
      </w:r>
    </w:p>
    <w:p>
      <w:pPr>
        <w:numPr>
          <w:ilvl w:val="0"/>
          <w:numId w:val="1006"/>
        </w:numPr>
      </w:pPr>
      <w:r>
        <w:rPr>
          <w:b/>
          <w:bCs/>
        </w:rPr>
        <w:t xml:space="preserve">1.4.0</w:t>
      </w:r>
      <w:r>
        <w:t xml:space="preserve"> </w:t>
      </w:r>
      <w:r>
        <w:t xml:space="preserve">(May 2026): execution modes with local runs and the</w:t>
      </w:r>
      <w:r>
        <w:t xml:space="preserve"> </w:t>
      </w:r>
      <w:r>
        <w:t xml:space="preserve">executable contract, in-place subnetwork editing, full TypeScript</w:t>
      </w:r>
      <w:r>
        <w:t xml:space="preserve"> </w:t>
      </w:r>
      <w:r>
        <w:t xml:space="preserve">migration, redesigned settings;</w:t>
      </w:r>
    </w:p>
    <w:p>
      <w:pPr>
        <w:numPr>
          <w:ilvl w:val="0"/>
          <w:numId w:val="1006"/>
        </w:numPr>
      </w:pPr>
      <w:r>
        <w:rPr>
          <w:b/>
          <w:bCs/>
        </w:rPr>
        <w:t xml:space="preserve">1.4.1</w:t>
      </w:r>
      <w:r>
        <w:t xml:space="preserve"> </w:t>
      </w:r>
      <w:r>
        <w:t xml:space="preserve">(July 2026): deployment on real remote machines,</w:t>
      </w:r>
      <w:r>
        <w:t xml:space="preserve"> </w:t>
      </w:r>
      <w:r>
        <w:t xml:space="preserve">single-command full stack, end-to-end test suites, complete theming</w:t>
      </w:r>
      <w:r>
        <w:t xml:space="preserve"> </w:t>
      </w:r>
      <w:r>
        <w:t xml:space="preserve">overhaul,</w:t>
      </w:r>
      <w:r>
        <w:t xml:space="preserve"> </w:t>
      </w:r>
      <w:r>
        <w:rPr>
          <w:rStyle w:val="VerbatimChar"/>
        </w:rPr>
        <w:t xml:space="preserve">.prm</w:t>
      </w:r>
      <w:r>
        <w:t xml:space="preserve"> </w:t>
      </w:r>
      <w:r>
        <w:t xml:space="preserve">parameter support.</w:t>
      </w:r>
    </w:p>
    <w:p>
      <w:pPr>
        <w:pStyle w:val="FirstParagraph"/>
      </w:pPr>
      <w:r>
        <w:t xml:space="preserve">Quality assurance is enforced at three levels. At commit time, git hooks run</w:t>
      </w:r>
      <w:r>
        <w:t xml:space="preserve"> </w:t>
      </w:r>
      <w:r>
        <w:t xml:space="preserve">the linter, the type checker and the code formatter. On every push and pull</w:t>
      </w:r>
      <w:r>
        <w:t xml:space="preserve"> </w:t>
      </w:r>
      <w:r>
        <w:t xml:space="preserve">request, a continuous integration pipeline runs static type checking of both</w:t>
      </w:r>
      <w:r>
        <w:t xml:space="preserve"> </w:t>
      </w:r>
      <w:r>
        <w:t xml:space="preserve">the frontend and the Electron backend, plus the unit test suite (Vitest),</w:t>
      </w:r>
      <w:r>
        <w:t xml:space="preserve"> </w:t>
      </w:r>
      <w:r>
        <w:t xml:space="preserve">and blocks merging on failure. Finally, two tiers of end-to-end tests, based</w:t>
      </w:r>
      <w:r>
        <w:t xml:space="preserve"> </w:t>
      </w:r>
      <w:r>
        <w:t xml:space="preserve">on Playwright driving the real Electron application, cover the interactive</w:t>
      </w:r>
      <w:r>
        <w:t xml:space="preserve"> </w:t>
      </w:r>
      <w:r>
        <w:t xml:space="preserve">flows: Tier 1 exercises the canvas (node creation, connections, undo/redo,</w:t>
      </w:r>
      <w:r>
        <w:t xml:space="preserve"> </w:t>
      </w:r>
      <w:r>
        <w:t xml:space="preserve">graph import, subnetwork collapse and explode) without external services,</w:t>
      </w:r>
      <w:r>
        <w:t xml:space="preserve"> </w:t>
      </w:r>
      <w:r>
        <w:t xml:space="preserve">and runs headlessly in CI on every push; Tier 2 covers authentication and</w:t>
      </w:r>
      <w:r>
        <w:t xml:space="preserve"> </w:t>
      </w:r>
      <w:r>
        <w:t xml:space="preserve">project management flows against a live Coral Remote Server instance. Both</w:t>
      </w:r>
      <w:r>
        <w:t xml:space="preserve"> </w:t>
      </w:r>
      <w:r>
        <w:t xml:space="preserve">tiers run against an isolated configuration store, so tests are reproducible</w:t>
      </w:r>
      <w:r>
        <w:t xml:space="preserve"> </w:t>
      </w:r>
      <w:r>
        <w:t xml:space="preserve">and cannot interfere with a user’s installation.</w:t>
      </w:r>
    </w:p>
    <w:bookmarkEnd w:id="51"/>
    <w:bookmarkStart w:id="56" w:name="sec:outlook"/>
    <w:p>
      <w:pPr>
        <w:pStyle w:val="Heading1"/>
      </w:pPr>
      <w:r>
        <w:rPr>
          <w:rStyle w:val="SectionNumber"/>
        </w:rPr>
        <w:t xml:space="preserve">9</w:t>
      </w:r>
      <w:r>
        <w:tab/>
      </w:r>
      <w:r>
        <w:t xml:space="preserve">Outlook</w:t>
      </w:r>
    </w:p>
    <w:p>
      <w:pPr>
        <w:pStyle w:val="FirstParagraph"/>
      </w:pPr>
      <w:r>
        <w:t xml:space="preserve">With the deployment of the first version of the PoC platform, task 2.6.4 of</w:t>
      </w:r>
      <w:r>
        <w:t xml:space="preserve"> </w:t>
      </w:r>
      <w:r>
        <w:t xml:space="preserve">the development plan presented in D2.6, reproduced in Fig. 7, is</w:t>
      </w:r>
      <w:r>
        <w:t xml:space="preserve"> </w:t>
      </w:r>
      <w:r>
        <w:t xml:space="preserve">completed. The</w:t>
      </w:r>
      <w:r>
        <w:t xml:space="preserve"> </w:t>
      </w:r>
      <w:r>
        <w:t xml:space="preserve">final phase of the project (task 2.6.5, M23–M27) is devoted to the</w:t>
      </w:r>
      <w:r>
        <w:t xml:space="preserve"> </w:t>
      </w:r>
      <w:r>
        <w:t xml:space="preserve">development of additional features, driven by the feedback collected from</w:t>
      </w:r>
      <w:r>
        <w:t xml:space="preserve"> </w:t>
      </w:r>
      <w:r>
        <w:t xml:space="preserve">the project partners during the testing period. The main directions are:</w:t>
      </w:r>
    </w:p>
    <w:p>
      <w:pPr>
        <w:numPr>
          <w:ilvl w:val="0"/>
          <w:numId w:val="1007"/>
        </w:numPr>
      </w:pPr>
      <w:r>
        <w:t xml:space="preserve">enrichment of the node registries with the dealii-X application</w:t>
      </w:r>
      <w:r>
        <w:t xml:space="preserve"> </w:t>
      </w:r>
      <w:r>
        <w:t xml:space="preserve">libraries developed in the other work packages, moving from tutorial</w:t>
      </w:r>
      <w:r>
        <w:t xml:space="preserve"> </w:t>
      </w:r>
      <w:r>
        <w:t xml:space="preserve">examples towards the organ-scale digital twin workflows targeted by</w:t>
      </w:r>
      <w:r>
        <w:t xml:space="preserve"> </w:t>
      </w:r>
      <w:r>
        <w:t xml:space="preserve">the project;</w:t>
      </w:r>
    </w:p>
    <w:p>
      <w:pPr>
        <w:numPr>
          <w:ilvl w:val="0"/>
          <w:numId w:val="1007"/>
        </w:numPr>
      </w:pPr>
      <w:r>
        <w:t xml:space="preserve">development of the orchestrator designed during this phase: passing</w:t>
      </w:r>
      <w:r>
        <w:t xml:space="preserve"> </w:t>
      </w:r>
      <w:r>
        <w:t xml:space="preserve">of artifacts between pipeline stages, verification that the expected</w:t>
      </w:r>
      <w:r>
        <w:t xml:space="preserve"> </w:t>
      </w:r>
      <w:r>
        <w:t xml:space="preserve">artifacts of a stage exist before the stages depending on it are</w:t>
      </w:r>
      <w:r>
        <w:t xml:space="preserve"> </w:t>
      </w:r>
      <w:r>
        <w:t xml:space="preserve">released, and a short path to edit the parameters of an individual stage of a</w:t>
      </w:r>
      <w:r>
        <w:t xml:space="preserve"> </w:t>
      </w:r>
      <w:r>
        <w:t xml:space="preserve">pipeline directly from the orchestrator canvas;</w:t>
      </w:r>
    </w:p>
    <w:p>
      <w:pPr>
        <w:numPr>
          <w:ilvl w:val="0"/>
          <w:numId w:val="1007"/>
        </w:numPr>
      </w:pPr>
      <w:r>
        <w:t xml:space="preserve">MPI support in executable mode;</w:t>
      </w:r>
    </w:p>
    <w:p>
      <w:pPr>
        <w:numPr>
          <w:ilvl w:val="0"/>
          <w:numId w:val="1007"/>
        </w:numPr>
      </w:pPr>
      <w:r>
        <w:t xml:space="preserve">continued improvement of the visualization service and of the</w:t>
      </w:r>
      <w:r>
        <w:t xml:space="preserve"> </w:t>
      </w:r>
      <w:r>
        <w:t xml:space="preserve">no-code user experience for non-expert users.</w:t>
      </w:r>
    </w:p>
    <w:bookmarkStart w:id="55" w:name="gantt"/>
    <w:p>
      <w:pPr>
        <w:pStyle w:val="CaptionedFigure"/>
      </w:pPr>
      <w:r>
        <w:drawing>
          <wp:inline>
            <wp:extent cx="5080000" cy="439940"/>
            <wp:effectExtent b="0" l="0" r="0" t="0"/>
            <wp:docPr descr="" title="" id="53" name="Picture"/>
            <a:graphic>
              <a:graphicData uri="http://schemas.openxmlformats.org/drawingml/2006/picture">
                <pic:pic>
                  <pic:nvPicPr>
                    <pic:cNvPr descr="gantt.png" id="54" name="Picture"/>
                    <pic:cNvPicPr>
                      <a:picLocks noChangeArrowheads="1" noChangeAspect="1"/>
                    </pic:cNvPicPr>
                  </pic:nvPicPr>
                  <pic:blipFill>
                    <a:blip r:embed="rId52"/>
                    <a:stretch>
                      <a:fillRect/>
                    </a:stretch>
                  </pic:blipFill>
                  <pic:spPr bwMode="auto">
                    <a:xfrm>
                      <a:off x="0" y="0"/>
                      <a:ext cx="5080000" cy="439940"/>
                    </a:xfrm>
                    <a:prstGeom prst="rect">
                      <a:avLst/>
                    </a:prstGeom>
                    <a:noFill/>
                    <a:ln w="9525">
                      <a:noFill/>
                      <a:headEnd/>
                      <a:tailEnd/>
                    </a:ln>
                  </pic:spPr>
                </pic:pic>
              </a:graphicData>
            </a:graphic>
          </wp:inline>
        </w:drawing>
      </w:r>
    </w:p>
    <w:p>
      <w:pPr>
        <w:pStyle w:val="ImageCaption"/>
      </w:pPr>
      <w:r>
        <w:t xml:space="preserve">Figure 7: Timeline of the activities of task 2.6; D2.7 marks the end of</w:t>
      </w:r>
      <w:r>
        <w:t xml:space="preserve"> </w:t>
      </w:r>
      <w:r>
        <w:t xml:space="preserve">the deployment phase (task 2.6.4)</w:t>
      </w:r>
    </w:p>
    <w:bookmarkEnd w:id="55"/>
    <w:p>
      <w:pPr>
        <w:pStyle w:val="BodyText"/>
      </w:pPr>
      <w:r>
        <w:t xml:space="preserve">The PoC platform is one of the main exploitable results of the dealii-X</w:t>
      </w:r>
      <w:r>
        <w:t xml:space="preserve"> </w:t>
      </w:r>
      <w:r>
        <w:t xml:space="preserve">project: it demonstrates, end to end, that the simulation capabilities</w:t>
      </w:r>
      <w:r>
        <w:t xml:space="preserve"> </w:t>
      </w:r>
      <w:r>
        <w:t xml:space="preserve">developed in the project can be operated through an intuitive low-code/no-code</w:t>
      </w:r>
      <w:r>
        <w:t xml:space="preserve"> </w:t>
      </w:r>
      <w:r>
        <w:t xml:space="preserve">environment by users with widely different technical backgrounds, and it</w:t>
      </w:r>
      <w:r>
        <w:t xml:space="preserve"> </w:t>
      </w:r>
      <w:r>
        <w:t xml:space="preserve">provides the foundation on which the final version of the platform will be</w:t>
      </w:r>
      <w:r>
        <w:t xml:space="preserve"> </w:t>
      </w:r>
      <w:r>
        <w:t xml:space="preserve">delivered at the end of the project.</w:t>
      </w:r>
    </w:p>
    <w:bookmarkEnd w:id="56"/>
    <w:sectPr>
      <w:headerReference r:id="rIdHdr1" w:type="default"/>
      <w:footerReference r:id="rIdFt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left"/>
    </w:pPr>
    <w:r>
      <w:drawing>
        <wp:inline distT="0" distB="0" distL="0" distR="0">
          <wp:extent cx="1440000" cy="328889"/>
          <wp:docPr id="1000" name="footer-logo" descr="dealii-X logo"/>
          <a:graphic>
            <a:graphicData uri="http://schemas.openxmlformats.org/drawingml/2006/picture">
              <pic:pic>
                <pic:nvPicPr>
                  <pic:cNvPr id="1000" name="footer-logo"/>
                  <pic:cNvPicPr/>
                </pic:nvPicPr>
                <pic:blipFill>
                  <a:blip r:embed="rIdFooterLogo"/>
                  <a:stretch>
                    <a:fillRect/>
                  </a:stretch>
                </pic:blipFill>
                <pic:spPr>
                  <a:xfrm>
                    <a:off x="0" y="0"/>
                    <a:ext cx="1440000" cy="328889"/>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center" w:pos="4680"/>
        <w:tab w:val="right" w:pos="9360"/>
      </w:tabs>
      <w:rPr>
        <w:color w:val="00205B"/>
        <w:sz w:val="18"/>
        <w:szCs w:val="18"/>
      </w:rPr>
    </w:pPr>
    <w:r>
      <w:rPr>
        <w:color w:val="00205B"/>
        <w:sz w:val="18"/>
        <w:szCs w:val="18"/>
      </w:rPr>
      <w:t>dealii-X</w:t>
    </w:r>
    <w:r>
      <w:rPr>
        <w:color w:val="00205B"/>
        <w:sz w:val="18"/>
        <w:szCs w:val="18"/>
      </w:rPr>
      <w:tab/>
      <w:t>D2.7: Deployment of the PoC platform</w:t>
    </w:r>
    <w:r>
      <w:rPr>
        <w:color w:val="00205B"/>
        <w:sz w:val="18"/>
        <w:szCs w:val="18"/>
      </w:rPr>
      <w:tab/>
      <w:t xml:space="preserve">page </w:t>
    </w:r>
    <w:r>
      <w:rPr>
        <w:color w:val="00205B"/>
        <w:sz w:val="18"/>
        <w:szCs w:val="18"/>
      </w:rPr>
      <w:fldChar w:fldCharType="begin"/>
    </w:r>
    <w:r>
      <w:rPr>
        <w:color w:val="00205B"/>
        <w:sz w:val="18"/>
        <w:szCs w:val="18"/>
      </w:rPr>
      <w:instrText xml:space="preserve"> PAGE </w:instrText>
    </w:r>
    <w:r>
      <w:rPr>
        <w:color w:val="00205B"/>
        <w:sz w:val="18"/>
        <w:szCs w:val="18"/>
      </w:rPr>
      <w:fldChar w:fldCharType="separate"/>
    </w:r>
    <w:r>
      <w:rPr>
        <w:color w:val="00205B"/>
        <w:sz w:val="18"/>
        <w:szCs w:val="18"/>
      </w:rPr>
      <w:t>1</w:t>
    </w:r>
    <w:r>
      <w:rPr>
        <w:color w:val="00205B"/>
        <w:sz w:val="18"/>
        <w:szCs w:val="18"/>
      </w:rPr>
      <w:fldChar w:fldCharType="end"/>
    </w:r>
    <w:r>
      <w:rPr>
        <w:color w:val="00205B"/>
        <w:sz w:val="18"/>
        <w:szCs w:val="18"/>
      </w:rPr>
      <w:t xml:space="preserve"> of </w:t>
    </w:r>
    <w:r>
      <w:rPr>
        <w:color w:val="00205B"/>
        <w:sz w:val="18"/>
        <w:szCs w:val="18"/>
      </w:rPr>
      <w:fldChar w:fldCharType="begin"/>
    </w:r>
    <w:r>
      <w:rPr>
        <w:color w:val="00205B"/>
        <w:sz w:val="18"/>
        <w:szCs w:val="18"/>
      </w:rPr>
      <w:instrText xml:space="preserve"> NUMPAGES </w:instrText>
    </w:r>
    <w:r>
      <w:rPr>
        <w:color w:val="00205B"/>
        <w:sz w:val="18"/>
        <w:szCs w:val="18"/>
      </w:rPr>
      <w:fldChar w:fldCharType="separate"/>
    </w:r>
    <w:r>
      <w:rPr>
        <w:color w:val="00205B"/>
        <w:sz w:val="18"/>
        <w:szCs w:val="18"/>
      </w:rPr>
      <w:t>1</w:t>
    </w:r>
    <w:r>
      <w:rPr>
        <w:color w:val="00205B"/>
        <w:sz w:val="18"/>
        <w:szCs w:val="1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hAnsi="Arial"/>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205B"/>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205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205B"/>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205B"/>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6" Target="media/rId46.png" /><Relationship Type="http://schemas.openxmlformats.org/officeDocument/2006/relationships/image" Id="rId23" Target="media/rId23.png" /><Relationship Type="http://schemas.openxmlformats.org/officeDocument/2006/relationships/image" Id="rId9" Target="media/rId9.jp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hyperlink" Id="rId39" Target="https://github.com/2listic/dealiiX-platform/blob/main/docs/remote-setup.md" TargetMode="External" /></Relationships>
</file>

<file path=word/_rels/footer1.xml.rels><?xml version="1.0" encoding="UTF-8" standalone="yes"?>
<Relationships xmlns="http://schemas.openxmlformats.org/package/2006/relationships"><Relationship Id="rIdFooterLogo" Type="http://schemas.openxmlformats.org/officeDocument/2006/relationships/image" Target="media/footer-logo.png"/></Relationships>

</file>

<file path=word/_rels/footnotes.xml.rels><?xml version="1.0" encoding="UTF-8"?><Relationships xmlns="http://schemas.openxmlformats.org/package/2006/relationships"><Relationship Type="http://schemas.openxmlformats.org/officeDocument/2006/relationships/hyperlink" Id="rId39" Target="https://github.com/2listic/dealiiX-platform/blob/main/docs/remote-setup.md" TargetMode="External" /></Relationships>
</file>

<file path=word/_rels/header1.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2026-07-29T21:06:51Z</dcterms:created>
  <dcterms:modified xsi:type="dcterms:W3CDTF">2026-07-29T21:06:51Z</dcterms:modified>
</cp:coreProperties>
</file>

<file path=docProps/custom.xml><?xml version="1.0" encoding="utf-8"?>
<Properties xmlns="http://schemas.openxmlformats.org/officeDocument/2006/custom-properties" xmlns:vt="http://schemas.openxmlformats.org/officeDocument/2006/docPropsVTypes"/>
</file>