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既有说课片与本资源包关联核对（最终交付版）</w:t>
      </w:r>
    </w:p>
    <w:p>
      <w:pPr>
        <w:jc w:val="both"/>
      </w:pPr>
      <w:r>
        <w:t>本说明于2026年10月10日按实际最终成片更新，替代准备阶段的“成片待完成”和“AI定位待修订”状态。六门课程均已形成600秒Spark本人克隆声音lecture说课片，附字幕、完整教学设计、四个案例及认定审核空表。技术验收不替代课程正式认定或真实教学实施。</w:t>
      </w:r>
    </w:p>
    <w:p>
      <w:pPr>
        <w:pStyle w:val="Heading1"/>
      </w:pPr>
      <w:r>
        <w:t>一、六门课程逐一关联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tblHeader/>
        </w:trPr>
        <w:tc>
          <w:tcPr>
            <w:tcW w:type="dxa" w:w="3009"/>
          </w:tcPr>
          <w:p>
            <w:pPr>
              <w:spacing w:after="60"/>
              <w:ind w:firstLine="0"/>
            </w:pPr>
            <w:r>
              <w:rPr>
                <w:rFonts w:ascii="Calibri" w:hAnsi="Calibri" w:eastAsia="SimSun"/>
                <w:sz w:val="21"/>
                <w14:textOutline w14:w="1905" w14:cap="flat" w14:cmpd="sng" w14:algn="ctr">
                  <w14:solidFill>
                    <w14:srgbClr w14:val="202B3A"/>
                  </w14:solidFill>
                  <w14:prstDash w14:val="solid"/>
                  <w14:round/>
                </w14:textOutline>
              </w:rPr>
              <w:t>课程</w:t>
            </w:r>
          </w:p>
        </w:tc>
        <w:tc>
          <w:tcPr>
            <w:tcW w:type="dxa" w:w="3009"/>
          </w:tcPr>
          <w:p>
            <w:pPr>
              <w:spacing w:after="60"/>
              <w:ind w:firstLine="0"/>
            </w:pPr>
            <w:r>
              <w:rPr>
                <w:rFonts w:ascii="Calibri" w:hAnsi="Calibri" w:eastAsia="SimSun"/>
                <w:sz w:val="21"/>
                <w14:textOutline w14:w="1905" w14:cap="flat" w14:cmpd="sng" w14:algn="ctr">
                  <w14:solidFill>
                    <w14:srgbClr w14:val="202B3A"/>
                  </w14:solidFill>
                  <w14:prstDash w14:val="solid"/>
                  <w14:round/>
                </w14:textOutline>
              </w:rPr>
              <w:t>影片与90分钟课堂设计的区别</w:t>
            </w:r>
          </w:p>
        </w:tc>
        <w:tc>
          <w:tcPr>
            <w:tcW w:type="dxa" w:w="3009"/>
          </w:tcPr>
          <w:p>
            <w:pPr>
              <w:spacing w:after="60"/>
              <w:ind w:firstLine="0"/>
            </w:pPr>
            <w:r>
              <w:rPr>
                <w:rFonts w:ascii="Calibri" w:hAnsi="Calibri" w:eastAsia="SimSun"/>
                <w:sz w:val="21"/>
                <w14:textOutline w14:w="1905" w14:cap="flat" w14:cmpd="sng" w14:algn="ctr">
                  <w14:solidFill>
                    <w14:srgbClr w14:val="202B3A"/>
                  </w14:solidFill>
                  <w14:prstDash w14:val="solid"/>
                  <w14:round/>
                </w14:textOutline>
              </w:rPr>
              <w:t>最终采用结论</w:t>
            </w:r>
          </w:p>
        </w:tc>
      </w:tr>
      <w:tr>
        <w:tc>
          <w:tcPr>
            <w:tcW w:type="dxa" w:w="3009"/>
          </w:tcPr>
          <w:p>
            <w:pPr>
              <w:spacing w:after="60"/>
              <w:ind w:firstLine="0"/>
            </w:pPr>
            <w:r>
              <w:rPr>
                <w:rFonts w:ascii="Calibri" w:hAnsi="Calibri" w:eastAsia="SimSun"/>
                <w:sz w:val="21"/>
              </w:rPr>
              <w:t>离散数学</w:t>
            </w:r>
          </w:p>
        </w:tc>
        <w:tc>
          <w:tcPr>
            <w:tcW w:type="dxa" w:w="3009"/>
          </w:tcPr>
          <w:p>
            <w:pPr>
              <w:spacing w:after="60"/>
              <w:ind w:firstLine="0"/>
            </w:pPr>
            <w:r>
              <w:rPr>
                <w:rFonts w:ascii="Calibri" w:hAnsi="Calibri" w:eastAsia="SimSun"/>
                <w:sz w:val="21"/>
              </w:rPr>
              <w:t>本包典型课为90分钟的合成联系图与广度优先搜索，不与欧拉逐边遍历混写；影片文化遗产案例是原稿补充案例，不计入本包四例。</w:t>
            </w:r>
          </w:p>
        </w:tc>
        <w:tc>
          <w:tcPr>
            <w:tcW w:type="dxa" w:w="3009"/>
          </w:tcPr>
          <w:p>
            <w:pPr>
              <w:spacing w:after="60"/>
              <w:ind w:firstLine="0"/>
            </w:pPr>
            <w:r>
              <w:rPr>
                <w:rFonts w:ascii="Calibri" w:hAnsi="Calibri" w:eastAsia="SimSun"/>
                <w:sz w:val="21"/>
              </w:rPr>
              <w:t>知识、能力和价值目标与本包一致，可作课程说课与原稿补充示例；须随片附本说明和新增量规。</w:t>
            </w:r>
          </w:p>
        </w:tc>
      </w:tr>
      <w:tr>
        <w:tc>
          <w:tcPr>
            <w:tcW w:type="dxa" w:w="3009"/>
          </w:tcPr>
          <w:p>
            <w:pPr>
              <w:spacing w:after="60"/>
              <w:ind w:firstLine="0"/>
            </w:pPr>
            <w:r>
              <w:rPr>
                <w:rFonts w:ascii="Calibri" w:hAnsi="Calibri" w:eastAsia="SimSun"/>
                <w:sz w:val="21"/>
              </w:rPr>
              <w:t>C语言程序设计</w:t>
            </w:r>
          </w:p>
        </w:tc>
        <w:tc>
          <w:tcPr>
            <w:tcW w:type="dxa" w:w="3009"/>
          </w:tcPr>
          <w:p>
            <w:pPr>
              <w:spacing w:after="60"/>
              <w:ind w:firstLine="0"/>
            </w:pPr>
            <w:r>
              <w:rPr>
                <w:rFonts w:ascii="Calibri" w:hAnsi="Calibri" w:eastAsia="SimSun"/>
                <w:sz w:val="21"/>
              </w:rPr>
              <w:t>本包典型课为90分钟字符串边界与输入检查；影片动态内存示例对应本包案例二，二者分别覆盖数组边界与生命周期。</w:t>
            </w:r>
          </w:p>
        </w:tc>
        <w:tc>
          <w:tcPr>
            <w:tcW w:type="dxa" w:w="3009"/>
          </w:tcPr>
          <w:p>
            <w:pPr>
              <w:spacing w:after="60"/>
              <w:ind w:firstLine="0"/>
            </w:pPr>
            <w:r>
              <w:rPr>
                <w:rFonts w:ascii="Calibri" w:hAnsi="Calibri" w:eastAsia="SimSun"/>
                <w:sz w:val="21"/>
              </w:rPr>
              <w:t>可作为本包课程说课，动态内存案例直接关联；须附本包100分量规和90分钟示例课说明。</w:t>
            </w:r>
          </w:p>
        </w:tc>
      </w:tr>
      <w:tr>
        <w:tc>
          <w:tcPr>
            <w:tcW w:type="dxa" w:w="3009"/>
          </w:tcPr>
          <w:p>
            <w:pPr>
              <w:spacing w:after="60"/>
              <w:ind w:firstLine="0"/>
            </w:pPr>
            <w:r>
              <w:rPr>
                <w:rFonts w:ascii="Calibri" w:hAnsi="Calibri" w:eastAsia="SimSun"/>
                <w:sz w:val="21"/>
              </w:rPr>
              <w:t>网络安全技术</w:t>
            </w:r>
          </w:p>
        </w:tc>
        <w:tc>
          <w:tcPr>
            <w:tcW w:type="dxa" w:w="3009"/>
          </w:tcPr>
          <w:p>
            <w:pPr>
              <w:spacing w:after="60"/>
              <w:ind w:firstLine="0"/>
            </w:pPr>
            <w:r>
              <w:rPr>
                <w:rFonts w:ascii="Calibri" w:hAnsi="Calibri" w:eastAsia="SimSun"/>
                <w:sz w:val="21"/>
              </w:rPr>
              <w:t>本包典型课为90分钟虚构预约服务的纵深防御评审，细化权限矩阵、允许/拒绝验证、恢复和残余风险。</w:t>
            </w:r>
          </w:p>
        </w:tc>
        <w:tc>
          <w:tcPr>
            <w:tcW w:type="dxa" w:w="3009"/>
          </w:tcPr>
          <w:p>
            <w:pPr>
              <w:spacing w:after="60"/>
              <w:ind w:firstLine="0"/>
            </w:pPr>
            <w:r>
              <w:rPr>
                <w:rFonts w:ascii="Calibri" w:hAnsi="Calibri" w:eastAsia="SimSun"/>
                <w:sz w:val="21"/>
              </w:rPr>
              <w:t>可作为本包课程说课，影片案例直接对应案例四；新增量规和授权范围另附，不将影片片段写成完整90分钟课。</w:t>
            </w:r>
          </w:p>
        </w:tc>
      </w:tr>
      <w:tr>
        <w:tc>
          <w:tcPr>
            <w:tcW w:type="dxa" w:w="3009"/>
          </w:tcPr>
          <w:p>
            <w:pPr>
              <w:spacing w:after="60"/>
              <w:ind w:firstLine="0"/>
            </w:pPr>
            <w:r>
              <w:rPr>
                <w:rFonts w:ascii="Calibri" w:hAnsi="Calibri" w:eastAsia="SimSun"/>
                <w:sz w:val="21"/>
              </w:rPr>
              <w:t>嵌入式系统</w:t>
            </w:r>
          </w:p>
        </w:tc>
        <w:tc>
          <w:tcPr>
            <w:tcW w:type="dxa" w:w="3009"/>
          </w:tcPr>
          <w:p>
            <w:pPr>
              <w:spacing w:after="60"/>
              <w:ind w:firstLine="0"/>
            </w:pPr>
            <w:r>
              <w:rPr>
                <w:rFonts w:ascii="Calibri" w:hAnsi="Calibri" w:eastAsia="SimSun"/>
                <w:sz w:val="21"/>
              </w:rPr>
              <w:t>本包典型课为90分钟虚拟灌溉状态机和故障安全；影片强调驱动输入、权限与中断处理，对应案例一及接口安全学习，不代替本包控制状态机测试。</w:t>
            </w:r>
          </w:p>
        </w:tc>
        <w:tc>
          <w:tcPr>
            <w:tcW w:type="dxa" w:w="3009"/>
          </w:tcPr>
          <w:p>
            <w:pPr>
              <w:spacing w:after="60"/>
              <w:ind w:firstLine="0"/>
            </w:pPr>
            <w:r>
              <w:rPr>
                <w:rFonts w:ascii="Calibri" w:hAnsi="Calibri" w:eastAsia="SimSun"/>
                <w:sz w:val="21"/>
              </w:rPr>
              <w:t>可作为课程说课和驱动安全补充示例；须保留本包实时、状态机及故障证据要求，正式大纲确认时与原Linux/ARM章节核对。</w:t>
            </w:r>
          </w:p>
        </w:tc>
      </w:tr>
      <w:tr>
        <w:tc>
          <w:tcPr>
            <w:tcW w:type="dxa" w:w="3009"/>
          </w:tcPr>
          <w:p>
            <w:pPr>
              <w:spacing w:after="60"/>
              <w:ind w:firstLine="0"/>
            </w:pPr>
            <w:r>
              <w:rPr>
                <w:rFonts w:ascii="Calibri" w:hAnsi="Calibri" w:eastAsia="SimSun"/>
                <w:sz w:val="21"/>
              </w:rPr>
              <w:t>数据挖掘</w:t>
            </w:r>
          </w:p>
        </w:tc>
        <w:tc>
          <w:tcPr>
            <w:tcW w:type="dxa" w:w="3009"/>
          </w:tcPr>
          <w:p>
            <w:pPr>
              <w:spacing w:after="60"/>
              <w:ind w:firstLine="0"/>
            </w:pPr>
            <w:r>
              <w:rPr>
                <w:rFonts w:ascii="Calibri" w:hAnsi="Calibri" w:eastAsia="SimSun"/>
                <w:sz w:val="21"/>
              </w:rPr>
              <w:t>本包90分钟合成招聘分类课由影片原12分钟片段扩展，补训练集拟合预处理、固定划分、指标分母和同伴复现。</w:t>
            </w:r>
          </w:p>
        </w:tc>
        <w:tc>
          <w:tcPr>
            <w:tcW w:type="dxa" w:w="3009"/>
          </w:tcPr>
          <w:p>
            <w:pPr>
              <w:spacing w:after="60"/>
              <w:ind w:firstLine="0"/>
            </w:pPr>
            <w:r>
              <w:rPr>
                <w:rFonts w:ascii="Calibri" w:hAnsi="Calibri" w:eastAsia="SimSun"/>
                <w:sz w:val="21"/>
              </w:rPr>
              <w:t>可直接作为课程说课，任务与本包案例三高度对应；100分量规是本包新增送审设计，影片未声称已执行权重。</w:t>
            </w:r>
          </w:p>
        </w:tc>
      </w:tr>
      <w:tr>
        <w:tc>
          <w:tcPr>
            <w:tcW w:type="dxa" w:w="3009"/>
          </w:tcPr>
          <w:p>
            <w:pPr>
              <w:spacing w:after="60"/>
              <w:ind w:firstLine="0"/>
            </w:pPr>
            <w:r>
              <w:rPr>
                <w:rFonts w:ascii="Calibri" w:hAnsi="Calibri" w:eastAsia="SimSun"/>
                <w:sz w:val="21"/>
              </w:rPr>
              <w:t>AI工程概览</w:t>
            </w:r>
          </w:p>
        </w:tc>
        <w:tc>
          <w:tcPr>
            <w:tcW w:type="dxa" w:w="3009"/>
          </w:tcPr>
          <w:p>
            <w:pPr>
              <w:spacing w:after="60"/>
              <w:ind w:firstLine="0"/>
            </w:pPr>
            <w:r>
              <w:rPr>
                <w:rFonts w:ascii="Calibri" w:hAnsi="Calibri" w:eastAsia="SimSun"/>
                <w:sz w:val="21"/>
              </w:rPr>
              <w:t>本包90分钟离线文档助手课扩展核验、拒答、干扰输入、许可和评估；正式专业归属尚待确认。</w:t>
            </w:r>
          </w:p>
        </w:tc>
        <w:tc>
          <w:tcPr>
            <w:tcW w:type="dxa" w:w="3009"/>
          </w:tcPr>
          <w:p>
            <w:pPr>
              <w:spacing w:after="60"/>
              <w:ind w:firstLine="0"/>
            </w:pPr>
            <w:r>
              <w:rPr>
                <w:rFonts w:ascii="Calibri" w:hAnsi="Calibri" w:eastAsia="SimSun"/>
                <w:sz w:val="21"/>
              </w:rPr>
              <w:t>18—40秒专业定位已用Spark本人克隆声音重录，字幕及画面同步修订为专业关联待确认；其余技术目标和案例可复用。此修订不作为区块链专业正式覆盖或课程认定证据。</w:t>
            </w:r>
          </w:p>
        </w:tc>
      </w:tr>
    </w:tbl>
    <w:p>
      <w:pPr>
        <w:jc w:val="both"/>
      </w:pPr>
      <w:r>
        <w:t>影片中的12或15分钟典型课堂段是原稿的说课示例，新资源包中的90分钟活动是本次补充的完整课堂方案。两者分别列示，不能把影片片段说成已执行的90分钟课，也不能把原案例总数算成本包新提供的24例。</w:t>
      </w:r>
    </w:p>
    <w:p>
      <w:pPr>
        <w:pStyle w:val="Heading1"/>
      </w:pPr>
      <w:r>
        <w:t>二、AI定位修订结果</w:t>
      </w:r>
    </w:p>
    <w:p>
      <w:pPr>
        <w:jc w:val="both"/>
      </w:pPr>
      <w:r>
        <w:t>原AI影片18—40秒将专业归属表述得过于确定。最终交付版已替换这22秒旁白、字幕和画面，表述为“AI工程概览围绕基础模型应用展开，区块链专业关联尚待确认”，使用同一Spark本人克隆声音。修订句的声纹相似度最低0.737077，字符错误率0；影片仍为600秒。正式专业归属和培养目标匹配由专业负责人核对，不以改文案代替正式专业依据。</w:t>
      </w:r>
    </w:p>
    <w:p>
      <w:pPr>
        <w:pStyle w:val="Heading1"/>
      </w:pPr>
      <w:r>
        <w:t>三、最终成片与交付证据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</w:tcPr>
          <w:p>
            <w:pPr>
              <w:spacing w:after="60"/>
              <w:ind w:firstLine="0"/>
            </w:pPr>
            <w:r>
              <w:rPr>
                <w:rFonts w:ascii="Calibri" w:hAnsi="Calibri" w:eastAsia="SimSun"/>
                <w:sz w:val="21"/>
                <w14:textOutline w14:w="1905" w14:cap="flat" w14:cmpd="sng" w14:algn="ctr">
                  <w14:solidFill>
                    <w14:srgbClr w14:val="202B3A"/>
                  </w14:solidFill>
                  <w14:prstDash w14:val="solid"/>
                  <w14:round/>
                </w14:textOutline>
              </w:rPr>
              <w:t>课程</w:t>
            </w:r>
          </w:p>
        </w:tc>
        <w:tc>
          <w:tcPr>
            <w:tcW w:type="dxa" w:w="1805"/>
          </w:tcPr>
          <w:p>
            <w:pPr>
              <w:spacing w:after="60"/>
              <w:ind w:firstLine="0"/>
            </w:pPr>
            <w:r>
              <w:rPr>
                <w:rFonts w:ascii="Calibri" w:hAnsi="Calibri" w:eastAsia="SimSun"/>
                <w:sz w:val="21"/>
                <w14:textOutline w14:w="1905" w14:cap="flat" w14:cmpd="sng" w14:algn="ctr">
                  <w14:solidFill>
                    <w14:srgbClr w14:val="202B3A"/>
                  </w14:solidFill>
                  <w14:prstDash w14:val="solid"/>
                  <w14:round/>
                </w14:textOutline>
              </w:rPr>
              <w:t>时长</w:t>
            </w:r>
          </w:p>
        </w:tc>
        <w:tc>
          <w:tcPr>
            <w:tcW w:type="dxa" w:w="1805"/>
          </w:tcPr>
          <w:p>
            <w:pPr>
              <w:spacing w:after="60"/>
              <w:ind w:firstLine="0"/>
            </w:pPr>
            <w:r>
              <w:rPr>
                <w:rFonts w:ascii="Calibri" w:hAnsi="Calibri" w:eastAsia="SimSun"/>
                <w:sz w:val="21"/>
                <w14:textOutline w14:w="1905" w14:cap="flat" w14:cmpd="sng" w14:algn="ctr">
                  <w14:solidFill>
                    <w14:srgbClr w14:val="202B3A"/>
                  </w14:solidFill>
                  <w14:prstDash w14:val="solid"/>
                  <w14:round/>
                </w14:textOutline>
              </w:rPr>
              <w:t>教学设计汉字数</w:t>
            </w:r>
          </w:p>
        </w:tc>
        <w:tc>
          <w:tcPr>
            <w:tcW w:type="dxa" w:w="1805"/>
          </w:tcPr>
          <w:p>
            <w:pPr>
              <w:spacing w:after="60"/>
              <w:ind w:firstLine="0"/>
            </w:pPr>
            <w:r>
              <w:rPr>
                <w:rFonts w:ascii="Calibri" w:hAnsi="Calibri" w:eastAsia="SimSun"/>
                <w:sz w:val="21"/>
                <w14:textOutline w14:w="1905" w14:cap="flat" w14:cmpd="sng" w14:algn="ctr">
                  <w14:solidFill>
                    <w14:srgbClr w14:val="202B3A"/>
                  </w14:solidFill>
                  <w14:prstDash w14:val="solid"/>
                  <w14:round/>
                </w14:textOutline>
              </w:rPr>
              <w:t>本包案例</w:t>
            </w:r>
          </w:p>
        </w:tc>
        <w:tc>
          <w:tcPr>
            <w:tcW w:type="dxa" w:w="1805"/>
          </w:tcPr>
          <w:p>
            <w:pPr>
              <w:spacing w:after="60"/>
              <w:ind w:firstLine="0"/>
            </w:pPr>
            <w:r>
              <w:rPr>
                <w:rFonts w:ascii="Calibri" w:hAnsi="Calibri" w:eastAsia="SimSun"/>
                <w:sz w:val="21"/>
                <w14:textOutline w14:w="1905" w14:cap="flat" w14:cmpd="sng" w14:algn="ctr">
                  <w14:solidFill>
                    <w14:srgbClr w14:val="202B3A"/>
                  </w14:solidFill>
                  <w14:prstDash w14:val="solid"/>
                  <w14:round/>
                </w14:textOutline>
              </w:rPr>
              <w:t>最终完整质量MP4的SHA256</w:t>
            </w:r>
          </w:p>
        </w:tc>
      </w:tr>
      <w:tr>
        <w:tc>
          <w:tcPr>
            <w:tcW w:type="dxa" w:w="1805"/>
          </w:tcPr>
          <w:p>
            <w:pPr>
              <w:spacing w:after="60"/>
              <w:ind w:firstLine="0"/>
            </w:pPr>
            <w:r>
              <w:rPr>
                <w:rFonts w:ascii="Calibri" w:hAnsi="Calibri" w:eastAsia="SimSun"/>
                <w:sz w:val="21"/>
              </w:rPr>
              <w:t>离散数学</w:t>
            </w:r>
          </w:p>
        </w:tc>
        <w:tc>
          <w:tcPr>
            <w:tcW w:type="dxa" w:w="1805"/>
          </w:tcPr>
          <w:p>
            <w:pPr>
              <w:spacing w:after="60"/>
              <w:ind w:firstLine="0"/>
            </w:pPr>
            <w:r>
              <w:rPr>
                <w:rFonts w:ascii="Calibri" w:hAnsi="Calibri" w:eastAsia="SimSun"/>
                <w:sz w:val="21"/>
              </w:rPr>
              <w:t>600秒</w:t>
            </w:r>
          </w:p>
        </w:tc>
        <w:tc>
          <w:tcPr>
            <w:tcW w:type="dxa" w:w="1805"/>
          </w:tcPr>
          <w:p>
            <w:pPr>
              <w:spacing w:after="60"/>
              <w:ind w:firstLine="0"/>
            </w:pPr>
            <w:r>
              <w:rPr>
                <w:rFonts w:ascii="Calibri" w:hAnsi="Calibri" w:eastAsia="SimSun"/>
                <w:sz w:val="21"/>
              </w:rPr>
              <w:t>2455</w:t>
            </w:r>
          </w:p>
        </w:tc>
        <w:tc>
          <w:tcPr>
            <w:tcW w:type="dxa" w:w="1805"/>
          </w:tcPr>
          <w:p>
            <w:pPr>
              <w:spacing w:after="60"/>
              <w:ind w:firstLine="0"/>
            </w:pPr>
            <w:r>
              <w:rPr>
                <w:rFonts w:ascii="Calibri" w:hAnsi="Calibri" w:eastAsia="SimSun"/>
                <w:sz w:val="21"/>
              </w:rPr>
              <w:t>4例</w:t>
            </w:r>
          </w:p>
        </w:tc>
        <w:tc>
          <w:tcPr>
            <w:tcW w:type="dxa" w:w="1805"/>
          </w:tcPr>
          <w:p>
            <w:pPr>
              <w:spacing w:after="60"/>
              <w:ind w:firstLine="0"/>
            </w:pPr>
            <w:r>
              <w:rPr>
                <w:rFonts w:ascii="Calibri" w:hAnsi="Calibri" w:eastAsia="SimSun"/>
                <w:sz w:val="21"/>
              </w:rPr>
              <w:t>4f60274cdaf7b1c14bf8b91d4a5a8538db4f85180514e53bac8fee77904fdb07</w:t>
            </w:r>
          </w:p>
        </w:tc>
      </w:tr>
      <w:tr>
        <w:tc>
          <w:tcPr>
            <w:tcW w:type="dxa" w:w="1805"/>
          </w:tcPr>
          <w:p>
            <w:pPr>
              <w:spacing w:after="60"/>
              <w:ind w:firstLine="0"/>
            </w:pPr>
            <w:r>
              <w:rPr>
                <w:rFonts w:ascii="Calibri" w:hAnsi="Calibri" w:eastAsia="SimSun"/>
                <w:sz w:val="21"/>
              </w:rPr>
              <w:t>C语言程序设计</w:t>
            </w:r>
          </w:p>
        </w:tc>
        <w:tc>
          <w:tcPr>
            <w:tcW w:type="dxa" w:w="1805"/>
          </w:tcPr>
          <w:p>
            <w:pPr>
              <w:spacing w:after="60"/>
              <w:ind w:firstLine="0"/>
            </w:pPr>
            <w:r>
              <w:rPr>
                <w:rFonts w:ascii="Calibri" w:hAnsi="Calibri" w:eastAsia="SimSun"/>
                <w:sz w:val="21"/>
              </w:rPr>
              <w:t>600秒</w:t>
            </w:r>
          </w:p>
        </w:tc>
        <w:tc>
          <w:tcPr>
            <w:tcW w:type="dxa" w:w="1805"/>
          </w:tcPr>
          <w:p>
            <w:pPr>
              <w:spacing w:after="60"/>
              <w:ind w:firstLine="0"/>
            </w:pPr>
            <w:r>
              <w:rPr>
                <w:rFonts w:ascii="Calibri" w:hAnsi="Calibri" w:eastAsia="SimSun"/>
                <w:sz w:val="21"/>
              </w:rPr>
              <w:t>2422</w:t>
            </w:r>
          </w:p>
        </w:tc>
        <w:tc>
          <w:tcPr>
            <w:tcW w:type="dxa" w:w="1805"/>
          </w:tcPr>
          <w:p>
            <w:pPr>
              <w:spacing w:after="60"/>
              <w:ind w:firstLine="0"/>
            </w:pPr>
            <w:r>
              <w:rPr>
                <w:rFonts w:ascii="Calibri" w:hAnsi="Calibri" w:eastAsia="SimSun"/>
                <w:sz w:val="21"/>
              </w:rPr>
              <w:t>4例</w:t>
            </w:r>
          </w:p>
        </w:tc>
        <w:tc>
          <w:tcPr>
            <w:tcW w:type="dxa" w:w="1805"/>
          </w:tcPr>
          <w:p>
            <w:pPr>
              <w:spacing w:after="60"/>
              <w:ind w:firstLine="0"/>
            </w:pPr>
            <w:r>
              <w:rPr>
                <w:rFonts w:ascii="Calibri" w:hAnsi="Calibri" w:eastAsia="SimSun"/>
                <w:sz w:val="21"/>
              </w:rPr>
              <w:t>ac75fed77972a1c3a762ed7a775321fc6e75f4718c8b6739562220de92a5bbb3</w:t>
            </w:r>
          </w:p>
        </w:tc>
      </w:tr>
      <w:tr>
        <w:tc>
          <w:tcPr>
            <w:tcW w:type="dxa" w:w="1805"/>
          </w:tcPr>
          <w:p>
            <w:pPr>
              <w:spacing w:after="60"/>
              <w:ind w:firstLine="0"/>
            </w:pPr>
            <w:r>
              <w:rPr>
                <w:rFonts w:ascii="Calibri" w:hAnsi="Calibri" w:eastAsia="SimSun"/>
                <w:sz w:val="21"/>
              </w:rPr>
              <w:t>网络安全技术</w:t>
            </w:r>
          </w:p>
        </w:tc>
        <w:tc>
          <w:tcPr>
            <w:tcW w:type="dxa" w:w="1805"/>
          </w:tcPr>
          <w:p>
            <w:pPr>
              <w:spacing w:after="60"/>
              <w:ind w:firstLine="0"/>
            </w:pPr>
            <w:r>
              <w:rPr>
                <w:rFonts w:ascii="Calibri" w:hAnsi="Calibri" w:eastAsia="SimSun"/>
                <w:sz w:val="21"/>
              </w:rPr>
              <w:t>600秒</w:t>
            </w:r>
          </w:p>
        </w:tc>
        <w:tc>
          <w:tcPr>
            <w:tcW w:type="dxa" w:w="1805"/>
          </w:tcPr>
          <w:p>
            <w:pPr>
              <w:spacing w:after="60"/>
              <w:ind w:firstLine="0"/>
            </w:pPr>
            <w:r>
              <w:rPr>
                <w:rFonts w:ascii="Calibri" w:hAnsi="Calibri" w:eastAsia="SimSun"/>
                <w:sz w:val="21"/>
              </w:rPr>
              <w:t>2391</w:t>
            </w:r>
          </w:p>
        </w:tc>
        <w:tc>
          <w:tcPr>
            <w:tcW w:type="dxa" w:w="1805"/>
          </w:tcPr>
          <w:p>
            <w:pPr>
              <w:spacing w:after="60"/>
              <w:ind w:firstLine="0"/>
            </w:pPr>
            <w:r>
              <w:rPr>
                <w:rFonts w:ascii="Calibri" w:hAnsi="Calibri" w:eastAsia="SimSun"/>
                <w:sz w:val="21"/>
              </w:rPr>
              <w:t>4例</w:t>
            </w:r>
          </w:p>
        </w:tc>
        <w:tc>
          <w:tcPr>
            <w:tcW w:type="dxa" w:w="1805"/>
          </w:tcPr>
          <w:p>
            <w:pPr>
              <w:spacing w:after="60"/>
              <w:ind w:firstLine="0"/>
            </w:pPr>
            <w:r>
              <w:rPr>
                <w:rFonts w:ascii="Calibri" w:hAnsi="Calibri" w:eastAsia="SimSun"/>
                <w:sz w:val="21"/>
              </w:rPr>
              <w:t>afe3d710857d663da56da936897a49fa9cb9de056f30704a52093cca147cc67e</w:t>
            </w:r>
          </w:p>
        </w:tc>
      </w:tr>
      <w:tr>
        <w:tc>
          <w:tcPr>
            <w:tcW w:type="dxa" w:w="1805"/>
          </w:tcPr>
          <w:p>
            <w:pPr>
              <w:spacing w:after="60"/>
              <w:ind w:firstLine="0"/>
            </w:pPr>
            <w:r>
              <w:rPr>
                <w:rFonts w:ascii="Calibri" w:hAnsi="Calibri" w:eastAsia="SimSun"/>
                <w:sz w:val="21"/>
              </w:rPr>
              <w:t>嵌入式系统</w:t>
            </w:r>
          </w:p>
        </w:tc>
        <w:tc>
          <w:tcPr>
            <w:tcW w:type="dxa" w:w="1805"/>
          </w:tcPr>
          <w:p>
            <w:pPr>
              <w:spacing w:after="60"/>
              <w:ind w:firstLine="0"/>
            </w:pPr>
            <w:r>
              <w:rPr>
                <w:rFonts w:ascii="Calibri" w:hAnsi="Calibri" w:eastAsia="SimSun"/>
                <w:sz w:val="21"/>
              </w:rPr>
              <w:t>600秒</w:t>
            </w:r>
          </w:p>
        </w:tc>
        <w:tc>
          <w:tcPr>
            <w:tcW w:type="dxa" w:w="1805"/>
          </w:tcPr>
          <w:p>
            <w:pPr>
              <w:spacing w:after="60"/>
              <w:ind w:firstLine="0"/>
            </w:pPr>
            <w:r>
              <w:rPr>
                <w:rFonts w:ascii="Calibri" w:hAnsi="Calibri" w:eastAsia="SimSun"/>
                <w:sz w:val="21"/>
              </w:rPr>
              <w:t>2386</w:t>
            </w:r>
          </w:p>
        </w:tc>
        <w:tc>
          <w:tcPr>
            <w:tcW w:type="dxa" w:w="1805"/>
          </w:tcPr>
          <w:p>
            <w:pPr>
              <w:spacing w:after="60"/>
              <w:ind w:firstLine="0"/>
            </w:pPr>
            <w:r>
              <w:rPr>
                <w:rFonts w:ascii="Calibri" w:hAnsi="Calibri" w:eastAsia="SimSun"/>
                <w:sz w:val="21"/>
              </w:rPr>
              <w:t>4例</w:t>
            </w:r>
          </w:p>
        </w:tc>
        <w:tc>
          <w:tcPr>
            <w:tcW w:type="dxa" w:w="1805"/>
          </w:tcPr>
          <w:p>
            <w:pPr>
              <w:spacing w:after="60"/>
              <w:ind w:firstLine="0"/>
            </w:pPr>
            <w:r>
              <w:rPr>
                <w:rFonts w:ascii="Calibri" w:hAnsi="Calibri" w:eastAsia="SimSun"/>
                <w:sz w:val="21"/>
              </w:rPr>
              <w:t>d54eabb649fdf6bfd1f64a0dc1682b64ebc1f7d38fdf4716d3898d22d942beac</w:t>
            </w:r>
          </w:p>
        </w:tc>
      </w:tr>
      <w:tr>
        <w:tc>
          <w:tcPr>
            <w:tcW w:type="dxa" w:w="1805"/>
          </w:tcPr>
          <w:p>
            <w:pPr>
              <w:spacing w:after="60"/>
              <w:ind w:firstLine="0"/>
            </w:pPr>
            <w:r>
              <w:rPr>
                <w:rFonts w:ascii="Calibri" w:hAnsi="Calibri" w:eastAsia="SimSun"/>
                <w:sz w:val="21"/>
              </w:rPr>
              <w:t>数据挖掘</w:t>
            </w:r>
          </w:p>
        </w:tc>
        <w:tc>
          <w:tcPr>
            <w:tcW w:type="dxa" w:w="1805"/>
          </w:tcPr>
          <w:p>
            <w:pPr>
              <w:spacing w:after="60"/>
              <w:ind w:firstLine="0"/>
            </w:pPr>
            <w:r>
              <w:rPr>
                <w:rFonts w:ascii="Calibri" w:hAnsi="Calibri" w:eastAsia="SimSun"/>
                <w:sz w:val="21"/>
              </w:rPr>
              <w:t>600秒</w:t>
            </w:r>
          </w:p>
        </w:tc>
        <w:tc>
          <w:tcPr>
            <w:tcW w:type="dxa" w:w="1805"/>
          </w:tcPr>
          <w:p>
            <w:pPr>
              <w:spacing w:after="60"/>
              <w:ind w:firstLine="0"/>
            </w:pPr>
            <w:r>
              <w:rPr>
                <w:rFonts w:ascii="Calibri" w:hAnsi="Calibri" w:eastAsia="SimSun"/>
                <w:sz w:val="21"/>
              </w:rPr>
              <w:t>2410</w:t>
            </w:r>
          </w:p>
        </w:tc>
        <w:tc>
          <w:tcPr>
            <w:tcW w:type="dxa" w:w="1805"/>
          </w:tcPr>
          <w:p>
            <w:pPr>
              <w:spacing w:after="60"/>
              <w:ind w:firstLine="0"/>
            </w:pPr>
            <w:r>
              <w:rPr>
                <w:rFonts w:ascii="Calibri" w:hAnsi="Calibri" w:eastAsia="SimSun"/>
                <w:sz w:val="21"/>
              </w:rPr>
              <w:t>4例</w:t>
            </w:r>
          </w:p>
        </w:tc>
        <w:tc>
          <w:tcPr>
            <w:tcW w:type="dxa" w:w="1805"/>
          </w:tcPr>
          <w:p>
            <w:pPr>
              <w:spacing w:after="60"/>
              <w:ind w:firstLine="0"/>
            </w:pPr>
            <w:r>
              <w:rPr>
                <w:rFonts w:ascii="Calibri" w:hAnsi="Calibri" w:eastAsia="SimSun"/>
                <w:sz w:val="21"/>
              </w:rPr>
              <w:t>cbb28e06f905cdc3b1c670024ce0d43e3a1faf85c016a3fd7f9eab04f84974ff</w:t>
            </w:r>
          </w:p>
        </w:tc>
      </w:tr>
      <w:tr>
        <w:tc>
          <w:tcPr>
            <w:tcW w:type="dxa" w:w="1805"/>
          </w:tcPr>
          <w:p>
            <w:pPr>
              <w:spacing w:after="60"/>
              <w:ind w:firstLine="0"/>
            </w:pPr>
            <w:r>
              <w:rPr>
                <w:rFonts w:ascii="Calibri" w:hAnsi="Calibri" w:eastAsia="SimSun"/>
                <w:sz w:val="21"/>
              </w:rPr>
              <w:t>AI工程概览</w:t>
            </w:r>
          </w:p>
        </w:tc>
        <w:tc>
          <w:tcPr>
            <w:tcW w:type="dxa" w:w="1805"/>
          </w:tcPr>
          <w:p>
            <w:pPr>
              <w:spacing w:after="60"/>
              <w:ind w:firstLine="0"/>
            </w:pPr>
            <w:r>
              <w:rPr>
                <w:rFonts w:ascii="Calibri" w:hAnsi="Calibri" w:eastAsia="SimSun"/>
                <w:sz w:val="21"/>
              </w:rPr>
              <w:t>600秒</w:t>
            </w:r>
          </w:p>
        </w:tc>
        <w:tc>
          <w:tcPr>
            <w:tcW w:type="dxa" w:w="1805"/>
          </w:tcPr>
          <w:p>
            <w:pPr>
              <w:spacing w:after="60"/>
              <w:ind w:firstLine="0"/>
            </w:pPr>
            <w:r>
              <w:rPr>
                <w:rFonts w:ascii="Calibri" w:hAnsi="Calibri" w:eastAsia="SimSun"/>
                <w:sz w:val="21"/>
              </w:rPr>
              <w:t>2436</w:t>
            </w:r>
          </w:p>
        </w:tc>
        <w:tc>
          <w:tcPr>
            <w:tcW w:type="dxa" w:w="1805"/>
          </w:tcPr>
          <w:p>
            <w:pPr>
              <w:spacing w:after="60"/>
              <w:ind w:firstLine="0"/>
            </w:pPr>
            <w:r>
              <w:rPr>
                <w:rFonts w:ascii="Calibri" w:hAnsi="Calibri" w:eastAsia="SimSun"/>
                <w:sz w:val="21"/>
              </w:rPr>
              <w:t>4例</w:t>
            </w:r>
          </w:p>
        </w:tc>
        <w:tc>
          <w:tcPr>
            <w:tcW w:type="dxa" w:w="1805"/>
          </w:tcPr>
          <w:p>
            <w:pPr>
              <w:spacing w:after="60"/>
              <w:ind w:firstLine="0"/>
            </w:pPr>
            <w:r>
              <w:rPr>
                <w:rFonts w:ascii="Calibri" w:hAnsi="Calibri" w:eastAsia="SimSun"/>
                <w:sz w:val="21"/>
              </w:rPr>
              <w:t>c4641c180b6559b6cbd73ee69220c6572dfa0eae61f67a488ca62c44118c5d66</w:t>
            </w:r>
          </w:p>
        </w:tc>
      </w:tr>
    </w:tbl>
    <w:p>
      <w:pPr>
        <w:jc w:val="both"/>
      </w:pPr>
      <w:r>
        <w:t>完整质量影片位于本目录“成片”，公开网页提供对应压缩副本和相同字幕。离散数学当前采用含e5位置修正的完整质量版，SHA256以表中值为准。六个网页副本均已完整解码核验，最终画面、字幕和声音来源记录已核对；没有声明已完成人工全片听审。</w:t>
      </w:r>
    </w:p>
    <w:p>
      <w:pPr>
        <w:jc w:val="both"/>
      </w:pPr>
      <w:r>
        <w:t>技术依据为本目录video-validation.json及第5项媒体验收报告、course-media-audit.json；来源原件留存，修改仅作用于本项目新生成的副本。所有新旁白沿用用户指定的Spark本人克隆声音。私有参考录音保留在Spark，不进入公开资源或本次文档。</w:t>
      </w:r>
    </w:p>
    <w:p>
      <w:pPr>
        <w:pStyle w:val="Heading1"/>
      </w:pPr>
      <w:r>
        <w:t>四、新设计与实际使用要求</w:t>
      </w:r>
    </w:p>
    <w:p>
      <w:pPr>
        <w:jc w:val="both"/>
      </w:pPr>
      <w:r>
        <w:t>影片定性评价与本包新增100分量规遵循相同原则，具体权重以随片完整教学设计为新送审设计；影片没有宣称这些权重已实施。建议学时、课堂安排和专业目标须与正式大纲核对。四例中技术任务、价值问题、学生产出及量规均为设计，育人成效由真实课堂、作品和评价证据核验。</w:t>
      </w:r>
    </w:p>
    <w:p>
      <w:pPr>
        <w:jc w:val="both"/>
      </w:pPr>
      <w:r>
        <w:t>本包保留十二场景备选旁白分镜，用于未来将影片进一步改编为本包新设计；它不是当前成片的逐字字幕。当前字幕应使用“成片”目录的SRT或网页VTT。若启用备选稿，继续调用Spark的lecture声音，并重新检查旁白、字幕、画面及时长。</w:t>
      </w:r>
    </w:p>
    <w:p>
      <w:pPr>
        <w:jc w:val="both"/>
      </w:pPr>
      <w:r>
        <w:t>教师自检后，依次执行专业初审、思政审核、学院评审委员会审定。签字、正式认定及真实课堂记录不由技术核验自动填写。</w:t>
      </w: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  <w:ind w:firstLine="482"/>
    </w:pPr>
    <w:rPr>
      <w:rFonts w:ascii="Calibri" w:hAnsi="Calibri" w:eastAsia="SimSun" w:cs="Calibri"/>
      <w:b w:val="0"/>
      <w:color w:val="202B3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 w:line="324" w:lineRule="auto"/>
      <w:outlineLvl w:val="0"/>
    </w:pPr>
    <w:rPr>
      <w:rFonts w:ascii="Calibri" w:hAnsi="Calibri" w:eastAsia="SimSun" w:cs="Calibri"/>
      <w:color w:val="202B3A"/>
      <w:sz w:val="36"/>
      <w:szCs w:val="28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324" w:lineRule="auto"/>
      <w:outlineLvl w:val="1"/>
    </w:pPr>
    <w:rPr>
      <w:rFonts w:ascii="Calibri" w:hAnsi="Calibri" w:eastAsia="SimSun" w:cs="Calibri"/>
      <w:color w:val="202B3A"/>
      <w:sz w:val="28"/>
      <w:szCs w:val="26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120" w:line="324" w:lineRule="auto"/>
      <w:outlineLvl w:val="2"/>
    </w:pPr>
    <w:rPr>
      <w:rFonts w:ascii="Calibri" w:hAnsi="Calibri" w:eastAsia="SimSun" w:cs="Calibri"/>
      <w:color w:val="202B3A"/>
      <w:sz w:val="24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324" w:lineRule="auto" w:before="360"/>
      <w:contextualSpacing/>
    </w:pPr>
    <w:rPr>
      <w:rFonts w:ascii="Calibri" w:hAnsi="Calibri" w:eastAsia="SimSun" w:cs="Calibri"/>
      <w:color w:val="202B3A"/>
      <w:spacing w:val="5"/>
      <w:kern w:val="28"/>
      <w:sz w:val="44"/>
      <w:szCs w:val="52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24" w:lineRule="auto" w:after="120"/>
      <w:contextualSpacing/>
    </w:pPr>
    <w:rPr>
      <w:rFonts w:ascii="Calibri" w:hAnsi="Calibri" w:eastAsia="SimSun" w:cs="Calibri"/>
      <w:b w:val="0"/>
      <w:color w:val="202B3A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24" w:lineRule="auto" w:after="120"/>
      <w:contextualSpacing/>
    </w:pPr>
    <w:rPr>
      <w:rFonts w:ascii="Calibri" w:hAnsi="Calibri" w:eastAsia="SimSun" w:cs="Calibri"/>
      <w:b w:val="0"/>
      <w:color w:val="202B3A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