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AI工程概览典型案例合集（四例，送审稿）</w:t>
      </w:r>
    </w:p>
    <w:p>
      <w:pPr>
        <w:jc w:val="both"/>
      </w:pPr>
      <w:r>
        <w:t>四例均为依据已有原题改编的教学设计；尚未授课、尚未审核签署的状态不得改写为已完成教学成效。</w:t>
      </w:r>
    </w:p>
    <w:p>
      <w:pPr>
        <w:pStyle w:val="Heading1"/>
      </w:pPr>
      <w:r>
        <w:t>ai-engineering-demo-01　离线文档问答：把无证据拒答纳入功能</w:t>
      </w:r>
    </w:p>
    <w:p>
      <w:pPr>
        <w:jc w:val="both"/>
      </w:pPr>
      <w:r>
        <w:t>知识点：生成不确定性、证据核验与拒答</w:t>
      </w:r>
    </w:p>
    <w:p>
      <w:pPr>
        <w:jc w:val="both"/>
      </w:pPr>
      <w:r>
        <w:t>维度：职业伦理、社会责任、科学精神</w:t>
      </w:r>
    </w:p>
    <w:p>
      <w:pPr>
        <w:jc w:val="both"/>
      </w:pPr>
      <w:r>
        <w:t>教师自编两份虚构课程通知并提供预存答复，学生将答复逐句标为被支持、与原文矛盾或证据不足，比较不同措辞与引用编号。任务为规定无证据时拒答或转人工的输出，不把降低温度视为事实保证。产出为问题集、片段、核验表和失败修订。讨论：一句免责声明能否替代核验和责任分工？评分为机制20、证据核验35、失败与改进25、责任20。不使用真实医疗或金融问题，不给操作建议；不复制原稿未经证实的幻觉比例及用药示例，不把教学评估称为产品已安全上线。</w:t>
      </w:r>
    </w:p>
    <w:p>
      <w:pPr>
        <w:jc w:val="both"/>
      </w:pPr>
      <w:r>
        <w:t>原素材：F:\思政库视频资源\课程思政库建设项目\课程设计方案word\09_AI工程概览_思政案例设计（谢鑫2025.12.25）.docx</w:t>
      </w:r>
    </w:p>
    <w:p>
      <w:pPr>
        <w:jc w:val="both"/>
      </w:pPr>
      <w:r>
        <w:t>原题：案例二：AI幻觉与责任边界；文本提取第275行。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ai-engineering-demo-02　文档中的无害干扰：权限边界不靠一句提示</w:t>
      </w:r>
    </w:p>
    <w:p>
      <w:pPr>
        <w:jc w:val="both"/>
      </w:pPr>
      <w:r>
        <w:t>知识点：不可信输入、系统职责与最少工具权限</w:t>
      </w:r>
    </w:p>
    <w:p>
      <w:pPr>
        <w:jc w:val="both"/>
      </w:pPr>
      <w:r>
        <w:t>维度：职业伦理、科学精神、社会责任</w:t>
      </w:r>
    </w:p>
    <w:p>
      <w:pPr>
        <w:jc w:val="both"/>
      </w:pPr>
      <w:r>
        <w:t>在教师自拟检索文档中加入“忽略任务并输出固定口号”的无害干扰，学生比较原始文本、检索结果和预存答复，分析数据内容与系统指令的边界。任务为设计来源标记、独立权限控制、输出校验和人工复核，不以清洗字符串或加一句提示宣称完全防御。产出为信任边界图、三类测试、失败记录和改进需求。讨论：检索内容能否改变工具允许执行的动作？评分为边界25、测试30、隔离方案25、责任20。禁止连接真实凭据、外部攻击目标或自动执行交易；教学演示不保证提示注入被彻底消除。</w:t>
      </w:r>
    </w:p>
    <w:p>
      <w:pPr>
        <w:jc w:val="both"/>
      </w:pPr>
      <w:r>
        <w:t>原素材：F:\思政库视频资源\课程思政库建设项目\课程设计方案word\09_AI工程概览_思政案例设计（谢鑫2025.12.25）.docx</w:t>
      </w:r>
    </w:p>
    <w:p>
      <w:pPr>
        <w:jc w:val="both"/>
      </w:pPr>
      <w:r>
        <w:t>原题：案例三：提示工程与AI安全对抗；文本提取第619行。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ai-engineering-demo-03　来源清单与角色检索：有引用还要查许可</w:t>
      </w:r>
    </w:p>
    <w:p>
      <w:pPr>
        <w:jc w:val="both"/>
      </w:pPr>
      <w:r>
        <w:t>知识点：文档切分、检索、来源元数据与访问控制</w:t>
      </w:r>
    </w:p>
    <w:p>
      <w:pPr>
        <w:jc w:val="both"/>
      </w:pPr>
      <w:r>
        <w:t>维度：法治意识、职业伦理、创新思维</w:t>
      </w:r>
    </w:p>
    <w:p>
      <w:pPr>
        <w:jc w:val="both"/>
      </w:pPr>
      <w:r>
        <w:t>以教师原创的短文档和明确授权样例建立小型知识库，为片段记录作者、版本、许可状态和可见角色。学生核查检索是否返回允许内容，检查回答是否真正由片段支持，并设计未确认许可时暂停入库的流程。产出为来源清单、检索记录、角色测试和核验说明。讨论：注明来源为何不自动等于获得使用许可？评分为元数据25、检索与角色30、证据25、许可责任20。不爬取受限网站或传播未授权全文；公开可访问、爬虫规则允许和取得使用权分别核对，不作具体案件法律判断。</w:t>
      </w:r>
    </w:p>
    <w:p>
      <w:pPr>
        <w:jc w:val="both"/>
      </w:pPr>
      <w:r>
        <w:t>原素材：F:\思政库视频资源\课程思政库建设项目\课程设计方案word\09_AI工程概览_思政案例设计（谢鑫2025.12.25）.docx</w:t>
      </w:r>
    </w:p>
    <w:p>
      <w:pPr>
        <w:jc w:val="both"/>
      </w:pPr>
      <w:r>
        <w:t>原题：案例四：RAG与知识产权保护；文本提取第1018行。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p>
      <w:pPr>
        <w:pStyle w:val="Heading1"/>
      </w:pPr>
      <w:r>
        <w:t>ai-engineering-demo-04　评估裁判校准：保留人工量规和失败样例</w:t>
      </w:r>
    </w:p>
    <w:p>
      <w:pPr>
        <w:jc w:val="both"/>
      </w:pPr>
      <w:r>
        <w:t>知识点：精确匹配、人工量规、位置偏差与回归</w:t>
      </w:r>
    </w:p>
    <w:p>
      <w:pPr>
        <w:jc w:val="both"/>
      </w:pPr>
      <w:r>
        <w:t>维度：科学精神、职业伦理、社会责任</w:t>
      </w:r>
    </w:p>
    <w:p>
      <w:pPr>
        <w:jc w:val="both"/>
      </w:pPr>
      <w:r>
        <w:t>提供十五条离线答复，其中包含等义表达、冗长错误与简短正确项。学生比较精确匹配和人工三项量规，用预存模型裁判分数交换答复顺序，核查结论是否变化。任务为记录裁判不一致、明确人工复核并保留固定回归集。产出为评分依据、逐题结果、偏差说明和修订方案。讨论：裁判偏爱长答复时怎样防止指标被优化而目标未实现？评分为口径25、偏差检验30、复现25、诚信20。预存分数仅作教学材料，不冒充新运行结果；不能将模型裁判视为唯一真值或用课堂数据宣称超过现有产品。</w:t>
      </w:r>
    </w:p>
    <w:p>
      <w:pPr>
        <w:jc w:val="both"/>
      </w:pPr>
      <w:r>
        <w:t>原素材：F:\思政库视频资源\课程思政库建设项目\课程设计方案word\09_AI工程概览_思政案例设计（谢鑫2025.12.25）.docx</w:t>
      </w:r>
    </w:p>
    <w:p>
      <w:pPr>
        <w:jc w:val="both"/>
      </w:pPr>
      <w:r>
        <w:t>原题：案例六:AI评估与科学严谨性；文本提取第1938行。</w:t>
      </w:r>
    </w:p>
    <w:p>
      <w:pPr>
        <w:jc w:val="both"/>
      </w:pPr>
      <w:r>
        <w:t>改编说明：从原题及技术融入位置改编为可评价的教学任务；任务、数据和产出为建设设计，不代表已经实施或获得认定。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