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AI工程概览完整教学设计（送审稿）</w:t>
      </w:r>
    </w:p>
    <w:p>
      <w:pPr>
        <w:jc w:val="both"/>
      </w:pPr>
      <w:r>
        <w:t>状态：建设资源已整理，教学实施、正式课程认定和三级签署尚待真实完成。</w:t>
      </w:r>
    </w:p>
    <w:p>
      <w:pPr>
        <w:pStyle w:val="Heading1"/>
      </w:pPr>
      <w:r>
        <w:t>一、课程定位与建设依据</w:t>
      </w:r>
    </w:p>
    <w:p>
      <w:pPr>
        <w:jc w:val="both"/>
      </w:pPr>
      <w:r>
        <w:t>本课程围绕基础模型应用工程，把“智能赋能社会，伦理引领创新”落实为需求边界、检索证据、安全权限和评估闭环。学生学习从可演示原型走向可审查系统所需的工程步骤，不能将模型答复流畅等同于真实可靠。原材料曾把课程名称与专业名称混填，本稿统一课程为 AI 工程概览。区块链工程仅作候选归属，须补正式培养方案，并经专业负责人确认链上可信数据、智能合约审计和 AI 应用的关系；本稿不宣称区块链专业覆盖已达成。建议六十四学时结构也须经正式大纲确认。</w:t>
      </w:r>
    </w:p>
    <w:p>
      <w:pPr>
        <w:pStyle w:val="Heading1"/>
      </w:pPr>
      <w:r>
        <w:t>二、学习者分析与先修诊断</w:t>
      </w:r>
    </w:p>
    <w:p>
      <w:pPr>
        <w:jc w:val="both"/>
      </w:pPr>
      <w:r>
        <w:t>先修为 Python、数据处理及基本软件测试。课前要求学生解释检索、生成、引用与验证的差别，读一份模型输入输出日志，指出敏感字段，并辨别精确匹配和语义正确的区别。基础学生使用教师预存模型输出和离线小语料，不因缺少付费账户降低学习机会。熟练学生可在已授权工具中运行，但不得上传真实个人资料、凭据和受限文档。团队设需求、检索、评估和责任审查岗位，轮换工作，每人独立核验一条回答及其证据。</w:t>
      </w:r>
    </w:p>
    <w:p>
      <w:pPr>
        <w:jc w:val="both"/>
      </w:pPr>
      <w:r>
        <w:t>教学支持分为概念卡、可运行小样例和审查清单三层，学生可以选择起点，但均须完成共同的证据要求。教师在课堂中提供书面问题和口头解释两种参与方式，不以发言数量替代学习质量。遇到网络、平台或设备不可用时，使用本地素材、纸笔模型与预存结果继续核心活动，并注明哪些步骤尚待真实运行。评价照顾工具条件差异，保持概念、推理和责任判断的相同要求。</w:t>
      </w:r>
    </w:p>
    <w:p>
      <w:pPr>
        <w:pStyle w:val="Heading1"/>
      </w:pPr>
      <w:r>
        <w:t>三、知识、能力与价值目标</w:t>
      </w:r>
    </w:p>
    <w:p>
      <w:pPr>
        <w:jc w:val="both"/>
      </w:pPr>
      <w:r>
        <w:t>知识目标：能解释基础模型、检索、微调选择、数据质量、推理成本、提示注入与评估偏差，区分降低随机性与事实正确性、引用存在与证据支持。</w:t>
      </w:r>
    </w:p>
    <w:p>
      <w:pPr>
        <w:jc w:val="both"/>
      </w:pPr>
      <w:r>
        <w:t>能力目标：能围绕教师自编文档设计问答原型，建立可回答、无证据和干扰输入三类测试，记录检索、生成、人工核验及修订，提交可追溯评估。</w:t>
      </w:r>
    </w:p>
    <w:p>
      <w:pPr>
        <w:jc w:val="both"/>
      </w:pPr>
      <w:r>
        <w:t>价值目标：能把拒答、来源许可、最少数据和人工复核写入工程要求，真实报告失败与成本；不把模型裁判当唯一真值，不让生成式建议自动触发链上或其他高影响操作。</w:t>
      </w:r>
    </w:p>
    <w:p>
      <w:pPr>
        <w:jc w:val="both"/>
      </w:pPr>
      <w:r>
        <w:t>评价对应：知识目标由诊断、退出题和概念解释核验；能力目标由任务过程、原始结果和个人答辩核验；价值目标以学生在数据、授权、来源、失败与风险处置中的具体选择核验。教师不得只以态度表述或页面浏览作为价值目标达成证据。</w:t>
      </w:r>
    </w:p>
    <w:p>
      <w:pPr>
        <w:pStyle w:val="Heading1"/>
      </w:pPr>
      <w:r>
        <w:t>四、全课程模块与学习产出</w:t>
      </w:r>
    </w:p>
    <w:p>
      <w:pPr>
        <w:jc w:val="both"/>
      </w:pPr>
      <w:r>
        <w:t>1. 需求与模型基础，建议十学时。任务范围、输出不确定性、成本和用户责任；交付需求与不可回答清单。</w:t>
      </w:r>
    </w:p>
    <w:p>
      <w:pPr>
        <w:jc w:val="both"/>
      </w:pPr>
      <w:r>
        <w:t>2. 评估方法与流程，建议十二学时。测试集、人工量规、模型裁判及回归；交付标签依据和评估记录。</w:t>
      </w:r>
    </w:p>
    <w:p>
      <w:pPr>
        <w:jc w:val="both"/>
      </w:pPr>
      <w:r>
        <w:t>3. 提示工程与安全，建议十二学时。结构化提示、不可信输入、最少权限和安全测试；交付失败样例及隔离方案。</w:t>
      </w:r>
    </w:p>
    <w:p>
      <w:pPr>
        <w:jc w:val="both"/>
      </w:pPr>
      <w:r>
        <w:t>4. 检索增强与证据，建议十二学时。切分、检索、引用、访问权限和许可；交付来源清单及逐条证据核验。</w:t>
      </w:r>
    </w:p>
    <w:p>
      <w:pPr>
        <w:jc w:val="both"/>
      </w:pPr>
      <w:r>
        <w:t>5. 数据、微调与推理优化，建议十学时。数据质量、微调选择、推理成本、反馈与撤回；交付取舍表及多目标方案。</w:t>
      </w:r>
    </w:p>
    <w:p>
      <w:pPr>
        <w:jc w:val="both"/>
      </w:pPr>
      <w:r>
        <w:t>6. 综合项目与候选补充，建议八学时。完成离线文档助手与反馈闭环；补链上追溯与合约审查讨论，经专业负责人审核决定映射。</w:t>
      </w:r>
    </w:p>
    <w:p>
      <w:pPr>
        <w:jc w:val="both"/>
      </w:pPr>
      <w:r>
        <w:t>模块按概念、实现、验证与责任判断逐步递进，前一模块的错误修订成为下一模块的输入。每次活动保留一项个人解释和一项小组交付，阶段性任务统一使用当前版本的量规。建议学时总数为六十四学时，实际教学安排与学校批准的大纲衔接后执行。</w:t>
      </w:r>
    </w:p>
    <w:p>
      <w:pPr>
        <w:pStyle w:val="Heading1"/>
      </w:pPr>
      <w:r>
        <w:t>五、典型一课：离线文档助手的证据核验与拒答（九十分钟）</w:t>
      </w:r>
    </w:p>
    <w:p>
      <w:pPr>
        <w:jc w:val="both"/>
      </w:pPr>
      <w:r>
        <w:t>0—8分钟：教师展示同一虚构课程通知的正确答复、无依据答复和表面有引用的答复。</w:t>
      </w:r>
    </w:p>
    <w:p>
      <w:pPr>
        <w:jc w:val="both"/>
      </w:pPr>
      <w:r>
        <w:t>8—22分钟：讲解切分、检索、证据支持与拒答，强调低温度及引用编号都不能自动保证事实。</w:t>
      </w:r>
    </w:p>
    <w:p>
      <w:pPr>
        <w:jc w:val="both"/>
      </w:pPr>
      <w:r>
        <w:t>22—40分钟：小组用教师自编文档建立可回答、无证据和间接干扰三类各五题测试。</w:t>
      </w:r>
    </w:p>
    <w:p>
      <w:pPr>
        <w:jc w:val="both"/>
      </w:pPr>
      <w:r>
        <w:t>40—58分钟：记录检索片段与预存生成输出，逐条人工核验，标注支持、矛盾和证据不足。</w:t>
      </w:r>
    </w:p>
    <w:p>
      <w:pPr>
        <w:jc w:val="both"/>
      </w:pPr>
      <w:r>
        <w:t>58—73分钟：加入来源许可和访问角色，讨论文档中的指令为何不应控制系统或工具权限。</w:t>
      </w:r>
    </w:p>
    <w:p>
      <w:pPr>
        <w:jc w:val="both"/>
      </w:pPr>
      <w:r>
        <w:t>73—85分钟：交换评估报告，查出裁判偏差与遗漏失败，修订拒答条件和回归清单。</w:t>
      </w:r>
    </w:p>
    <w:p>
      <w:pPr>
        <w:jc w:val="both"/>
      </w:pPr>
      <w:r>
        <w:t>85—90分钟：个人退出题：解释一条有引用却无支持的答复应怎样处理，以及人工复核责任。</w:t>
      </w:r>
    </w:p>
    <w:p>
      <w:pPr>
        <w:jc w:val="both"/>
      </w:pPr>
      <w:r>
        <w:t>课堂采用教师自编短文档和预存模型输出，允许完全离线完成核心学习目标。学生先定义允许问题和评价标准，再比较提示或检索方案，防止反复改题只展示最好结果。每条回答须留下片段、版本和核验结论。提示注入只在教师自拟文本中以无害指令演示，不涉及凭据、真实漏洞或外部目标。若补充区块链情境，仅分析摘要追溯与测试网合约的审查需求，明确链上记录不证明原文真伪，生成结果不直接执行交易。</w:t>
      </w:r>
    </w:p>
    <w:p>
      <w:pPr>
        <w:pStyle w:val="Heading1"/>
      </w:pPr>
      <w:r>
        <w:t>六、资源选择、作业与学习支持</w:t>
      </w:r>
    </w:p>
    <w:p>
      <w:pPr>
        <w:jc w:val="both"/>
      </w:pPr>
      <w:r>
        <w:t>资源依据为课程思政案例设计原稿、既有数字课程和本次改编的四个案例。教师按本课目标选择最少必要的资源，先核对技术正确性、来源许可和学习负荷，再安排课堂使用。原稿中列举的课件、视频或效果数字只有在文件和证据实际存在时才列入交付，不将计划描述作为完成项。</w:t>
      </w:r>
    </w:p>
    <w:p>
      <w:pPr>
        <w:jc w:val="both"/>
      </w:pPr>
      <w:r>
        <w:t>课前完成证据与权限诊断；课后交付三类十五题测试、文档来源、输入输出和人工核验表。综合项目为离线课程文档助手，要求明确拒答、最少日志和版本管理，评价质量、安全与资源成本。另附候选专业映射说明，列出链上可信数据与合约审计仍待补的学习目标和评审人员。个人随机审查一条失败答复，说明不能仅靠免责声明或一句提示完成防护。</w:t>
      </w:r>
    </w:p>
    <w:p>
      <w:pPr>
        <w:pStyle w:val="Heading1"/>
      </w:pPr>
      <w:r>
        <w:t>七、评价量规（总分一百分）</w:t>
      </w:r>
    </w:p>
    <w:p>
      <w:pPr>
        <w:jc w:val="both"/>
      </w:pPr>
      <w:r>
        <w:t>需求与技术机制，20分：任务、证据、生成与权限概念清晰，限制说明准确。</w:t>
      </w:r>
    </w:p>
    <w:p>
      <w:pPr>
        <w:jc w:val="both"/>
      </w:pPr>
      <w:r>
        <w:t>原型与证据流程，25分：检索、来源和版本可追踪，拒答与访问条件可检查。</w:t>
      </w:r>
    </w:p>
    <w:p>
      <w:pPr>
        <w:jc w:val="both"/>
      </w:pPr>
      <w:r>
        <w:t>评估与失败复现，25分：测试分类、标签、人工量规和原始输出完整，保留失败。</w:t>
      </w:r>
    </w:p>
    <w:p>
      <w:pPr>
        <w:jc w:val="both"/>
      </w:pPr>
      <w:r>
        <w:t>数据、许可与安全责任，20分：最少日志、输入隔离、许可和人工复核落到要求。</w:t>
      </w:r>
    </w:p>
    <w:p>
      <w:pPr>
        <w:jc w:val="both"/>
      </w:pPr>
      <w:r>
        <w:t>表达与个人贡献，10分：个人能核验回答并解释修改，候选专业映射表述诚实。</w:t>
      </w:r>
    </w:p>
    <w:p>
      <w:pPr>
        <w:jc w:val="both"/>
      </w:pPr>
      <w:r>
        <w:t>评分采用分析量规，每个维度分别记录可核对的证据。达到该维度要求且边界清楚得该项满分；有局部遗漏但不影响主要结论得该项约七成；仅有结果、缺少过程或存在主要错误得约四成；无可核验成果记零分。量规在任务前公布，评分后开放解释和复核。小组成果不能代替个人能力，个人退出题与答辩用于核验贡献；抄袭、越界和真实性问题按学校实际规定处理，不由本稿擅设处分。</w:t>
      </w:r>
    </w:p>
    <w:p>
      <w:pPr>
        <w:pStyle w:val="Heading1"/>
      </w:pPr>
      <w:r>
        <w:t>八、反馈、改进与审核记录</w:t>
      </w:r>
    </w:p>
    <w:p>
      <w:pPr>
        <w:jc w:val="both"/>
      </w:pPr>
      <w:r>
        <w:t>教师重点记录把低温度当真实性保证、把提示词当权限边界、把有引用当有证据，以及把模型裁判当唯一标准的问题。按真实失败样例修订测试集与拒答规则，禁止事后删题夸大效果。下一轮比较须保持题目和评价口径，写清版本及成本。本稿不填写幻觉率、教学提升率或第三方事故数据。公开前需三级审核技术、安全、版权与事实，尤其确认区块链归属和补充内容，不以候选资源包替代正式专业建设验收。</w:t>
      </w:r>
    </w:p>
    <w:p>
      <w:pPr>
        <w:jc w:val="both"/>
      </w:pPr>
      <w:r>
        <w:t>教学记录按课程、班级、任务版本、日期及匿名作品编号归档。课堂使用次数、真实参与教师及访问统计单独记录，建设材料不冒充实施证据。教师自检为前置步骤，正式三级流程依申报书为“专业初审（内容准确性）→思政审核（价值导向）→学院评审委员会审定”。审核意见、修订记录和发布版本须能关联，同时核验来源许可与公开范围；审核尚未完成的文件保留“送审稿”标识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