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C语言程序设计完整教学设计（送审稿）</w:t>
      </w:r>
    </w:p>
    <w:p>
      <w:pPr>
        <w:jc w:val="both"/>
      </w:pPr>
      <w:r>
        <w:t>状态：建设资源已整理，教学实施、正式课程认定和三级签署尚待真实完成。</w:t>
      </w:r>
    </w:p>
    <w:p>
      <w:pPr>
        <w:pStyle w:val="Heading1"/>
      </w:pPr>
      <w:r>
        <w:t>一、课程定位与建设依据</w:t>
      </w:r>
    </w:p>
    <w:p>
      <w:pPr>
        <w:jc w:val="both"/>
      </w:pPr>
      <w:r>
        <w:t>本课程面向软件工程程序设计入门，把“代码即责任，编程即育人”落实为输入检查、内存生命周期、数值边界和可追踪的代码审查。学生不仅要得到一次正确输出，还要能解释异常输入和资源释放时程序怎样运行。课程从可控的小程序逐步走向模块化项目，让规范意识形成于编译、测试和修改的实际过程。生成式工具可辅助解释与构思，教师始终检查学生能否独立阅读和修复代码。建议采用六十四学时结构，正式课时、编译环境和考核比例须与现行教学大纲核对，不以本建设稿直接替代学校要求。</w:t>
      </w:r>
    </w:p>
    <w:p>
      <w:pPr>
        <w:pStyle w:val="Heading1"/>
      </w:pPr>
      <w:r>
        <w:t>二、学习者分析与先修诊断</w:t>
      </w:r>
    </w:p>
    <w:p>
      <w:pPr>
        <w:jc w:val="both"/>
      </w:pPr>
      <w:r>
        <w:t>先修要求为基本计算机操作和高中数学，不预设学生已经会编程。课前用六项任务检查文件管理、命令与输出、变量变化、条件判断、循环执行及对异常输入的认识。教师将“不会启动工具”和“不会追踪执行”分别处理：前者提供环境检查卡，后者给逐行状态表。分组采用驱动者、审查者和记录者轮换，基础学生先完成正常和空输入，进阶学生补充极长输入与数值溢出。每位学生需独立说明一段循环及一条错误信息，防止小组任务由熟练同学包办。</w:t>
      </w:r>
    </w:p>
    <w:p>
      <w:pPr>
        <w:jc w:val="both"/>
      </w:pPr>
      <w:r>
        <w:t>教学支持分为概念卡、可运行小样例和审查清单三层，学生可以选择起点，但均须完成共同的证据要求。教师在课堂中提供书面问题和口头解释两种参与方式，不以发言数量替代学习质量。遇到网络、平台或设备不可用时，使用本地素材、纸笔模型与预存结果继续核心活动，并注明哪些步骤尚待真实运行。评价照顾工具条件差异，保持概念、推理和责任判断的相同要求。</w:t>
      </w:r>
    </w:p>
    <w:p>
      <w:pPr>
        <w:pStyle w:val="Heading1"/>
      </w:pPr>
      <w:r>
        <w:t>三、知识、能力与价值目标</w:t>
      </w:r>
    </w:p>
    <w:p>
      <w:pPr>
        <w:jc w:val="both"/>
      </w:pPr>
      <w:r>
        <w:t>知识目标：能区分值、地址与对象生命周期，解释数组边界、指针有效性、文件返回值和浮点近似表示；能根据编译警告定位相关语句。</w:t>
      </w:r>
    </w:p>
    <w:p>
      <w:pPr>
        <w:jc w:val="both"/>
      </w:pPr>
      <w:r>
        <w:t>能力目标：能用函数和结构体组织一个小型程序，建立正常、边界和异常测试，修复内存与数值问题并提供复现步骤；能够审查工具生成的代码。</w:t>
      </w:r>
    </w:p>
    <w:p>
      <w:pPr>
        <w:jc w:val="both"/>
      </w:pPr>
      <w:r>
        <w:t>价值目标：能主动拒绝未经验证的危险实现，在说明文档中记录工具使用、测试限制和缺陷修订；通过输入检查、数据最少保存和错误处理保护使用者利益。</w:t>
      </w:r>
    </w:p>
    <w:p>
      <w:pPr>
        <w:jc w:val="both"/>
      </w:pPr>
      <w:r>
        <w:t>评价对应：知识目标由诊断、退出题和概念解释核验；能力目标由任务过程、原始结果和个人答辩核验；价值目标以学生在数据、授权、来源、失败与风险处置中的具体选择核验。教师不得只以态度表述或页面浏览作为价值目标达成证据。</w:t>
      </w:r>
    </w:p>
    <w:p>
      <w:pPr>
        <w:pStyle w:val="Heading1"/>
      </w:pPr>
      <w:r>
        <w:t>四、全课程模块与学习产出</w:t>
      </w:r>
    </w:p>
    <w:p>
      <w:pPr>
        <w:jc w:val="both"/>
      </w:pPr>
      <w:r>
        <w:t>1. 程序与基本类型，建议十学时。编译过程、表达式、类型和输入输出；交付环境清单、状态追踪和异常输入检查。</w:t>
      </w:r>
    </w:p>
    <w:p>
      <w:pPr>
        <w:jc w:val="both"/>
      </w:pPr>
      <w:r>
        <w:t>2. 流程控制与函数，建议十二学时。分支、循环、函数接口和模块分解；交付边界测试、接口约定与代码审查记录。</w:t>
      </w:r>
    </w:p>
    <w:p>
      <w:pPr>
        <w:jc w:val="both"/>
      </w:pPr>
      <w:r>
        <w:t>3. 数组、字符串与指针，建议十六学时。边界、地址和对象生命周期；交付受限输入程序、内存图及错误修复说明。</w:t>
      </w:r>
    </w:p>
    <w:p>
      <w:pPr>
        <w:jc w:val="both"/>
      </w:pPr>
      <w:r>
        <w:t>4. 结构体与文件，建议十学时。数据建模、读取错误、持久化与最少字段；交付格式说明和故障恢复测试。</w:t>
      </w:r>
    </w:p>
    <w:p>
      <w:pPr>
        <w:jc w:val="both"/>
      </w:pPr>
      <w:r>
        <w:t>5. 算法、数值与工程质量，建议八学时。排序、复杂度、浮点误差、范围检查和工具辅助审查；交付对比实验与验证依据。</w:t>
      </w:r>
    </w:p>
    <w:p>
      <w:pPr>
        <w:jc w:val="both"/>
      </w:pPr>
      <w:r>
        <w:t>6. 综合项目，建议八学时。完成合成数据的记录管理程序；交付源码、测试、缺陷日志和个人答辩。</w:t>
      </w:r>
    </w:p>
    <w:p>
      <w:pPr>
        <w:jc w:val="both"/>
      </w:pPr>
      <w:r>
        <w:t>模块按概念、实现、验证与责任判断逐步递进，前一模块的错误修订成为下一模块的输入。每次活动保留一项个人解释和一项小组交付，阶段性任务统一使用当前版本的量规。建议学时总数为六十四学时，实际教学安排与学校批准的大纲衔接后执行。</w:t>
      </w:r>
    </w:p>
    <w:p>
      <w:pPr>
        <w:pStyle w:val="Heading1"/>
      </w:pPr>
      <w:r>
        <w:t>五、典型一课：安全字符串输入与代码审查（九十分钟）</w:t>
      </w:r>
    </w:p>
    <w:p>
      <w:pPr>
        <w:jc w:val="both"/>
      </w:pPr>
      <w:r>
        <w:t>0—8分钟：展示合成输入下的越界症状，学生预测长度、结束符和缓冲区容量的关系。</w:t>
      </w:r>
    </w:p>
    <w:p>
      <w:pPr>
        <w:jc w:val="both"/>
      </w:pPr>
      <w:r>
        <w:t>8—20分钟：用内存示意讲解数组合法下标及字符串结束符；教师比较输入长度与缓冲区大小。</w:t>
      </w:r>
    </w:p>
    <w:p>
      <w:pPr>
        <w:jc w:val="both"/>
      </w:pPr>
      <w:r>
        <w:t>20—38分钟：小组用受限读取替换危险输入，设计空输入、恰好边界和超长输入三组测试。</w:t>
      </w:r>
    </w:p>
    <w:p>
      <w:pPr>
        <w:jc w:val="both"/>
      </w:pPr>
      <w:r>
        <w:t>38—55分钟：加入返回值判断、换行处理和残余输入处理；记录每项修改解决的具体问题。</w:t>
      </w:r>
    </w:p>
    <w:p>
      <w:pPr>
        <w:jc w:val="both"/>
      </w:pPr>
      <w:r>
        <w:t>55—72分钟：交换程序进行审查，检查编译警告和测试证据，提出可复现的缺陷报告。</w:t>
      </w:r>
    </w:p>
    <w:p>
      <w:pPr>
        <w:jc w:val="both"/>
      </w:pPr>
      <w:r>
        <w:t>72—84分钟：审查一段教师预设的工具生成代码，逐项验证接口和边界，不以“AI生成”作为质量保证。</w:t>
      </w:r>
    </w:p>
    <w:p>
      <w:pPr>
        <w:jc w:val="both"/>
      </w:pPr>
      <w:r>
        <w:t>84—90分钟：个人提交退出题：给定缓冲区容量，写出最大可存字符数及读取失败的处理步骤。</w:t>
      </w:r>
    </w:p>
    <w:p>
      <w:pPr>
        <w:jc w:val="both"/>
      </w:pPr>
      <w:r>
        <w:t>所有演示在本机沙盒中使用教师自拟数据，不包含攻击真实服务的操作。教师先画数组内存，再要求学生用执行记录解释症状，避免把崩溃截图当学习目标。每组交付修复前后的测试差异，同伴必须按说明复现一次。环境不支持内存检测工具时仍可用边界断言和逐步追踪完成核心任务；支持者可补充诊断日志。教师评价修复理由，不仅看是否消除一条警告。</w:t>
      </w:r>
    </w:p>
    <w:p>
      <w:pPr>
        <w:pStyle w:val="Heading1"/>
      </w:pPr>
      <w:r>
        <w:t>六、资源选择、作业与学习支持</w:t>
      </w:r>
    </w:p>
    <w:p>
      <w:pPr>
        <w:jc w:val="both"/>
      </w:pPr>
      <w:r>
        <w:t>资源依据为课程思政案例设计原稿、既有数字课程和本次改编的四个案例。教师按本课目标选择最少必要的资源，先核对技术正确性、来源许可和学习负荷，再安排课堂使用。原稿中列举的课件、视频或效果数字只有在文件和证据实际存在时才列入交付，不将计划描述作为完成项。</w:t>
      </w:r>
    </w:p>
    <w:p>
      <w:pPr>
        <w:jc w:val="both"/>
      </w:pPr>
      <w:r>
        <w:t>每周小作业附正常、边界和异常三类测试；在指针单元提交对象生命周期图，在数值单元比较逐项累加与补偿求和。综合项目使用合成记录，要求文件格式可解释、错误返回可见、数据字段最少。学生提交工具使用声明，指出一处自行发现的生成代码问题。个人答辩随机改变输入条件，要求当场解释影响并修改一处代码，以确认基础能力。</w:t>
      </w:r>
    </w:p>
    <w:p>
      <w:pPr>
        <w:pStyle w:val="Heading1"/>
      </w:pPr>
      <w:r>
        <w:t>七、评价量规（总分一百分）</w:t>
      </w:r>
    </w:p>
    <w:p>
      <w:pPr>
        <w:jc w:val="both"/>
      </w:pPr>
      <w:r>
        <w:t>概念与执行解释，20分：准确解释类型、地址、边界与生命周期，能追踪执行状态。</w:t>
      </w:r>
    </w:p>
    <w:p>
      <w:pPr>
        <w:jc w:val="both"/>
      </w:pPr>
      <w:r>
        <w:t>程序功能与模块设计，25分：接口清楚、返回值检查完整，正常与异常行为符合约定。</w:t>
      </w:r>
    </w:p>
    <w:p>
      <w:pPr>
        <w:jc w:val="both"/>
      </w:pPr>
      <w:r>
        <w:t>测试和缺陷修复，25分：至少覆盖三类输入，有复现记录及修复前后证据。</w:t>
      </w:r>
    </w:p>
    <w:p>
      <w:pPr>
        <w:jc w:val="both"/>
      </w:pPr>
      <w:r>
        <w:t>工程责任与规范，20分：无危险输入依赖，工具使用透明，最少字段与错误说明落实。</w:t>
      </w:r>
    </w:p>
    <w:p>
      <w:pPr>
        <w:jc w:val="both"/>
      </w:pPr>
      <w:r>
        <w:t>表达和个人贡献，10分：审查意见具体，版本差异清楚，个人能独立修改。</w:t>
      </w:r>
    </w:p>
    <w:p>
      <w:pPr>
        <w:jc w:val="both"/>
      </w:pPr>
      <w:r>
        <w:t>评分采用分析量规，每个维度分别记录可核对的证据。达到该维度要求且边界清楚得该项满分；有局部遗漏但不影响主要结论得该项约七成；仅有结果、缺少过程或存在主要错误得约四成；无可核验成果记零分。量规在任务前公布，评分后开放解释和复核。小组成果不能代替个人能力，个人退出题与答辩用于核验贡献；抄袭、越界和真实性问题按学校实际规定处理，不由本稿擅设处分。</w:t>
      </w:r>
    </w:p>
    <w:p>
      <w:pPr>
        <w:pStyle w:val="Heading1"/>
      </w:pPr>
      <w:r>
        <w:t>八、反馈、改进与审核记录</w:t>
      </w:r>
    </w:p>
    <w:p>
      <w:pPr>
        <w:jc w:val="both"/>
      </w:pPr>
      <w:r>
        <w:t>教师按数组边界、空指针、悬空指针、类型转换和未检查返回值建立错误分类表。每次实验后只记录真实出现的错误及修订情况，未运行的测试标为未验证。对把工具输出当最终答案的学生，安排逐行解释和边界修改。期末比较同一错误类型在独立任务中的出现频次；如需描述学习改进，必须附实际任务、评分口径与匿名记录。本稿不填写通过率或宣称零缺陷。</w:t>
      </w:r>
    </w:p>
    <w:p>
      <w:pPr>
        <w:jc w:val="both"/>
      </w:pPr>
      <w:r>
        <w:t>教学记录按课程、班级、任务版本、日期及匿名作品编号归档。课堂使用次数、真实参与教师及访问统计单独记录，建设材料不冒充实施证据。教师自检为前置步骤，正式三级流程依申报书为“专业初审（内容准确性）→思政审核（价值导向）→学院评审委员会审定”。审核意见、修订记录和发布版本须能关联，同时核验来源许可与公开范围；审核尚未完成的文件保留“送审稿”标识。</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ind w:firstLine="482"/>
    </w:pPr>
    <w:rPr>
      <w:rFonts w:ascii="Calibri" w:hAnsi="Calibri" w:eastAsia="SimSun" w:cs="Calibri"/>
      <w:b w:val="0"/>
      <w:color w:val="202B3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324" w:lineRule="auto"/>
      <w:outlineLvl w:val="0"/>
    </w:pPr>
    <w:rPr>
      <w:rFonts w:ascii="Calibri" w:hAnsi="Calibri" w:eastAsia="SimSun" w:cs="Calibri"/>
      <w:color w:val="202B3A"/>
      <w:sz w:val="36"/>
      <w:szCs w:val="28"/>
      <w14:textOutline w14:w="1905" w14:cap="flat" w14:cmpd="sng" w14:algn="ctr">
        <w14:solidFill>
          <w14:srgbClr w14:val="202B3A"/>
        </w14:solidFill>
        <w14:prstDash w14:val="solid"/>
        <w14:round/>
      </w14:textOutline>
    </w:rPr>
  </w:style>
  <w:style w:type="paragraph" w:styleId="Heading2">
    <w:name w:val="heading 2"/>
    <w:basedOn w:val="Normal"/>
    <w:next w:val="Normal"/>
    <w:link w:val="Heading2Char"/>
    <w:uiPriority w:val="9"/>
    <w:unhideWhenUsed/>
    <w:qFormat/>
    <w:rsid w:val="00FC693F"/>
    <w:pPr>
      <w:keepNext/>
      <w:keepLines/>
      <w:spacing w:before="360" w:after="120" w:line="324" w:lineRule="auto"/>
      <w:outlineLvl w:val="1"/>
    </w:pPr>
    <w:rPr>
      <w:rFonts w:ascii="Calibri" w:hAnsi="Calibri" w:eastAsia="SimSun" w:cs="Calibri"/>
      <w:color w:val="202B3A"/>
      <w:sz w:val="28"/>
      <w:szCs w:val="26"/>
      <w14:textOutline w14:w="1905" w14:cap="flat" w14:cmpd="sng" w14:algn="ctr">
        <w14:solidFill>
          <w14:srgbClr w14:val="202B3A"/>
        </w14:solidFill>
        <w14:prstDash w14:val="solid"/>
        <w14:round/>
      </w14:textOutline>
    </w:rPr>
  </w:style>
  <w:style w:type="paragraph" w:styleId="Heading3">
    <w:name w:val="heading 3"/>
    <w:basedOn w:val="Normal"/>
    <w:next w:val="Normal"/>
    <w:link w:val="Heading3Char"/>
    <w:uiPriority w:val="9"/>
    <w:unhideWhenUsed/>
    <w:qFormat/>
    <w:rsid w:val="00FC693F"/>
    <w:pPr>
      <w:keepNext/>
      <w:keepLines/>
      <w:spacing w:before="360" w:after="120" w:line="324" w:lineRule="auto"/>
      <w:outlineLvl w:val="2"/>
    </w:pPr>
    <w:rPr>
      <w:rFonts w:ascii="Calibri" w:hAnsi="Calibri" w:eastAsia="SimSun" w:cs="Calibri"/>
      <w:color w:val="202B3A"/>
      <w:sz w:val="24"/>
      <w14:textOutline w14:w="1905" w14:cap="flat" w14:cmpd="sng" w14:algn="ctr">
        <w14:solidFill>
          <w14:srgbClr w14:val="202B3A"/>
        </w14:solidFill>
        <w14:prstDash w14:val="solid"/>
        <w14:round/>
      </w14:textOutli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324" w:lineRule="auto" w:before="360"/>
      <w:contextualSpacing/>
    </w:pPr>
    <w:rPr>
      <w:rFonts w:ascii="Calibri" w:hAnsi="Calibri" w:eastAsia="SimSun" w:cs="Calibri"/>
      <w:color w:val="202B3A"/>
      <w:spacing w:val="5"/>
      <w:kern w:val="28"/>
      <w:sz w:val="44"/>
      <w:szCs w:val="52"/>
      <w14:textOutline w14:w="1905" w14:cap="flat" w14:cmpd="sng" w14:algn="ctr">
        <w14:solidFill>
          <w14:srgbClr w14:val="202B3A"/>
        </w14:solidFill>
        <w14:prstDash w14:val="solid"/>
        <w14:round/>
      </w14:textOutli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24" w:lineRule="auto" w:after="120"/>
      <w:contextualSpacing/>
    </w:pPr>
    <w:rPr>
      <w:rFonts w:ascii="Calibri" w:hAnsi="Calibri" w:eastAsia="SimSun" w:cs="Calibri"/>
      <w:b w:val="0"/>
      <w:color w:val="202B3A"/>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24" w:lineRule="auto" w:after="120"/>
      <w:contextualSpacing/>
    </w:pPr>
    <w:rPr>
      <w:rFonts w:ascii="Calibri" w:hAnsi="Calibri" w:eastAsia="SimSun" w:cs="Calibri"/>
      <w:b w:val="0"/>
      <w:color w:val="202B3A"/>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