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数据挖掘完整教学设计（送审稿）</w:t>
      </w:r>
    </w:p>
    <w:p>
      <w:pPr>
        <w:jc w:val="both"/>
      </w:pPr>
      <w:r>
        <w:t>状态：建设资源已整理，教学实施、正式课程认定和三级签署尚待真实完成。</w:t>
      </w:r>
    </w:p>
    <w:p>
      <w:pPr>
        <w:pStyle w:val="Heading1"/>
      </w:pPr>
      <w:r>
        <w:t>一、课程定位与建设依据</w:t>
      </w:r>
    </w:p>
    <w:p>
      <w:pPr>
        <w:jc w:val="both"/>
      </w:pPr>
      <w:r>
        <w:t>本课程面向数据科学与大数据技术，以“数据向善、算法公正”为主线，训练学生从数据理解、建模到评价和责任判断的完整过程。聚类、分类、关联分析和实验复现不各自孤立，而围绕社会问题中的数据质量、决策影响和证据限制组织任务。课程要求学生能说明模型结果与现实决定之间还缺什么信息，避免用漂亮图表替代有效验证。建议采用六十四学时结构，正式课时、前置课程和考核方式由课程负责人核对教学大纲。新稿将原稿的帮扶、招聘等例子改为合成教学任务，不宣称发生真实治理成效。</w:t>
      </w:r>
    </w:p>
    <w:p>
      <w:pPr>
        <w:pStyle w:val="Heading1"/>
      </w:pPr>
      <w:r>
        <w:t>二、学习者分析与先修诊断</w:t>
      </w:r>
    </w:p>
    <w:p>
      <w:pPr>
        <w:jc w:val="both"/>
      </w:pPr>
      <w:r>
        <w:t>先修为 Python、概率统计和基础线性代数。课前检查缺失值、标准化、训练测试划分、混淆矩阵和相关与因果五项理解，并要求手算一组小型分类结果。把不会操作工具与不会解释指标分开处理，前者使用离线小样例，后者先完成纸笔计算。团队设数据管理员、建模者、评价者和责任审查者，轮换职责。合成数据中故意设置类别不平衡和尺度差异，教师据学生解释判断其是否理解风险。进阶学生讨论指标冲突，基础学生先完成无泄漏的基线。</w:t>
      </w:r>
    </w:p>
    <w:p>
      <w:pPr>
        <w:jc w:val="both"/>
      </w:pPr>
      <w:r>
        <w:t>教学支持分为概念卡、可运行小样例和审查清单三层，学生可以选择起点，但均须完成共同的证据要求。教师在课堂中提供书面问题和口头解释两种参与方式，不以发言数量替代学习质量。遇到网络、平台或设备不可用时，使用本地素材、纸笔模型与预存结果继续核心活动，并注明哪些步骤尚待真实运行。评价照顾工具条件差异，保持概念、推理和责任判断的相同要求。</w:t>
      </w:r>
    </w:p>
    <w:p>
      <w:pPr>
        <w:pStyle w:val="Heading1"/>
      </w:pPr>
      <w:r>
        <w:t>三、知识、能力与价值目标</w:t>
      </w:r>
    </w:p>
    <w:p>
      <w:pPr>
        <w:jc w:val="both"/>
      </w:pPr>
      <w:r>
        <w:t>知识目标：能解释聚类、分类、回归、离群检测与关联规则机制，辨别标准化、数据泄漏、支持度、置信度和分类回归指标，说明评价口径对结论的影响。</w:t>
      </w:r>
    </w:p>
    <w:p>
      <w:pPr>
        <w:jc w:val="both"/>
      </w:pPr>
      <w:r>
        <w:t>能力目标：能建立无泄漏的数据流程，保留划分与参数，比较基线、分组误差和阈值选择，提交可复现实验及错误分析，至少报告一种失败情形。</w:t>
      </w:r>
    </w:p>
    <w:p>
      <w:pPr>
        <w:jc w:val="both"/>
      </w:pPr>
      <w:r>
        <w:t>价值目标：能在面向公共服务或机会分配的任务中分析误判影响，尊重数据来源与个人权益，明确合成数据、模型局限及人工复核责任，不把聚类标签当真实资格结论。</w:t>
      </w:r>
    </w:p>
    <w:p>
      <w:pPr>
        <w:jc w:val="both"/>
      </w:pPr>
      <w:r>
        <w:t>评价对应：知识目标由诊断、退出题和概念解释核验；能力目标由任务过程、原始结果和个人答辩核验；价值目标以学生在数据、授权、来源、失败与风险处置中的具体选择核验。教师不得只以态度表述或页面浏览作为价值目标达成证据。</w:t>
      </w:r>
    </w:p>
    <w:p>
      <w:pPr>
        <w:pStyle w:val="Heading1"/>
      </w:pPr>
      <w:r>
        <w:t>四、全课程模块与学习产出</w:t>
      </w:r>
    </w:p>
    <w:p>
      <w:pPr>
        <w:jc w:val="both"/>
      </w:pPr>
      <w:r>
        <w:t>1. 数据与问题定义，建议十学时。业务目标、数据字典、来源和质量；交付合成数据说明及责任边界。</w:t>
      </w:r>
    </w:p>
    <w:p>
      <w:pPr>
        <w:jc w:val="both"/>
      </w:pPr>
      <w:r>
        <w:t>2. 预处理与实验设计，建议十二学时。缺失、标准化、划分和泄漏检查；交付可复现流程与基线。</w:t>
      </w:r>
    </w:p>
    <w:p>
      <w:pPr>
        <w:jc w:val="both"/>
      </w:pPr>
      <w:r>
        <w:t>3. 聚类与异常分析，建议十二学时。距离、聚类、参数敏感性和离群检测；交付稳定性解释，不赋予未经验证的群体标签。</w:t>
      </w:r>
    </w:p>
    <w:p>
      <w:pPr>
        <w:jc w:val="both"/>
      </w:pPr>
      <w:r>
        <w:t>4. 分类、回归与公平性，建议十二学时。分类回归、混淆矩阵、残差和分组误差；交付评估表及人工复核方案。</w:t>
      </w:r>
    </w:p>
    <w:p>
      <w:pPr>
        <w:jc w:val="both"/>
      </w:pPr>
      <w:r>
        <w:t>5. 关联与推荐，建议十学时。支持度、置信度、提升度和多样性；交付推荐规则与因果限制说明。</w:t>
      </w:r>
    </w:p>
    <w:p>
      <w:pPr>
        <w:jc w:val="both"/>
      </w:pPr>
      <w:r>
        <w:t>6. 综合项目，建议八学时。完成合成公共服务任务；交付代码、实验清单、责任判断及个人答辩。</w:t>
      </w:r>
    </w:p>
    <w:p>
      <w:pPr>
        <w:jc w:val="both"/>
      </w:pPr>
      <w:r>
        <w:t>模块按概念、实现、验证与责任判断逐步递进，前一模块的错误修订成为下一模块的输入。每次活动保留一项个人解释和一项小组交付，阶段性任务统一使用当前版本的量规。建议学时总数为六十四学时，实际教学安排与学校批准的大纲衔接后执行。</w:t>
      </w:r>
    </w:p>
    <w:p>
      <w:pPr>
        <w:pStyle w:val="Heading1"/>
      </w:pPr>
      <w:r>
        <w:t>五、典型一课：合成招聘数据中的分类评价与公平性（九十分钟）</w:t>
      </w:r>
    </w:p>
    <w:p>
      <w:pPr>
        <w:jc w:val="both"/>
      </w:pPr>
      <w:r>
        <w:t>0—8分钟：给出合成候选人数据与两组混淆矩阵，学生先判断整体准确率能否说明公平。</w:t>
      </w:r>
    </w:p>
    <w:p>
      <w:pPr>
        <w:jc w:val="both"/>
      </w:pPr>
      <w:r>
        <w:t>8—22分钟：手算查准率、查全率及分组错误，说明评价分母、样本量和不确定性。</w:t>
      </w:r>
    </w:p>
    <w:p>
      <w:pPr>
        <w:jc w:val="both"/>
      </w:pPr>
      <w:r>
        <w:t>22—40分钟：小组固定训练测试划分，在训练集内部拟合预处理，建立可复核的近邻分类基线。</w:t>
      </w:r>
    </w:p>
    <w:p>
      <w:pPr>
        <w:jc w:val="both"/>
      </w:pPr>
      <w:r>
        <w:t>40—57分钟：比较不同阈值或邻居数量，记录整体与分组指标，并检查代理特征和标签来源。</w:t>
      </w:r>
    </w:p>
    <w:p>
      <w:pPr>
        <w:jc w:val="both"/>
      </w:pPr>
      <w:r>
        <w:t>57—73分钟：讨论误拒与误收的影响、人工复核及申诉入口，不把单一指标当公平结论。</w:t>
      </w:r>
    </w:p>
    <w:p>
      <w:pPr>
        <w:jc w:val="both"/>
      </w:pPr>
      <w:r>
        <w:t>73—85分钟：交换实验清单进行复现，找出泄漏或未报告的失败情形，并修订结论。</w:t>
      </w:r>
    </w:p>
    <w:p>
      <w:pPr>
        <w:jc w:val="both"/>
      </w:pPr>
      <w:r>
        <w:t>85—90分钟：个人退出题：解释一个指标的分母，说明为什么删掉敏感字段仍可能存在偏差。</w:t>
      </w:r>
    </w:p>
    <w:p>
      <w:pPr>
        <w:jc w:val="both"/>
      </w:pPr>
      <w:r>
        <w:t>数据完全由教师生成，分组属性只用于课堂评估，不收集真实简历或健康资料。学生先写评价问题再运行算法，模型训练、预处理和评价各自保留证据。教师安排不同组审查同一报告，检查结论是否超出数据。进阶组可讨论多个公平口径的冲突，基础组用表格完成分组误差和泄漏检查。所有可视化注明合成数据与样本量，未经任务验证的改善只能写作下一步假设。</w:t>
      </w:r>
    </w:p>
    <w:p>
      <w:pPr>
        <w:pStyle w:val="Heading1"/>
      </w:pPr>
      <w:r>
        <w:t>六、资源选择、作业与学习支持</w:t>
      </w:r>
    </w:p>
    <w:p>
      <w:pPr>
        <w:jc w:val="both"/>
      </w:pPr>
      <w:r>
        <w:t>资源依据为课程思政案例设计原稿、既有数字课程和本次改编的四个案例。教师按本课目标选择最少必要的资源，先核对技术正确性、来源许可和学习负荷，再安排课堂使用。原稿中列举的课件、视频或效果数字只有在文件和证据实际存在时才列入交付，不将计划描述作为完成项。</w:t>
      </w:r>
    </w:p>
    <w:p>
      <w:pPr>
        <w:jc w:val="both"/>
      </w:pPr>
      <w:r>
        <w:t>课前完成指标诊断；课后提交数据字典、固定划分、环境、参数、原始预测和分组评价。综合项目在虚构服务需求分组或推荐规则中二选一，必须报告基线、失败情形与人工复核步骤。学生不能删除不利实验，只可标注并解释。每人随机复算一项指标，说明训练集拟合预处理为何重要。工具生成的分析需逐项核对数据和计算；不得用真实候选人或患者数据替代课堂样例。</w:t>
      </w:r>
    </w:p>
    <w:p>
      <w:pPr>
        <w:pStyle w:val="Heading1"/>
      </w:pPr>
      <w:r>
        <w:t>七、评价量规（总分一百分）</w:t>
      </w:r>
    </w:p>
    <w:p>
      <w:pPr>
        <w:jc w:val="both"/>
      </w:pPr>
      <w:r>
        <w:t>问题、数据与机制，20分：问题可评价，来源、特征和算法机制解释准确。</w:t>
      </w:r>
    </w:p>
    <w:p>
      <w:pPr>
        <w:jc w:val="both"/>
      </w:pPr>
      <w:r>
        <w:t>流程与建模，25分：划分和预处理无泄漏，参数记录完整，基线合理。</w:t>
      </w:r>
    </w:p>
    <w:p>
      <w:pPr>
        <w:jc w:val="both"/>
      </w:pPr>
      <w:r>
        <w:t>评价与复现，25分：整体和分组指标分母明确，原始结果、失败和环境可核查。</w:t>
      </w:r>
    </w:p>
    <w:p>
      <w:pPr>
        <w:jc w:val="both"/>
      </w:pPr>
      <w:r>
        <w:t>公平、隐私与责任，20分：误判影响、代理特征、模型边界和人工复核落实。</w:t>
      </w:r>
    </w:p>
    <w:p>
      <w:pPr>
        <w:jc w:val="both"/>
      </w:pPr>
      <w:r>
        <w:t>表达和个人贡献，10分：结论有证据，个人独立复算并解释关键指标。</w:t>
      </w:r>
    </w:p>
    <w:p>
      <w:pPr>
        <w:jc w:val="both"/>
      </w:pPr>
      <w:r>
        <w:t>评分采用分析量规，每个维度分别记录可核对的证据。达到该维度要求且边界清楚得该项满分；有局部遗漏但不影响主要结论得该项约七成；仅有结果、缺少过程或存在主要错误得约四成；无可核验成果记零分。量规在任务前公布，评分后开放解释和复核。小组成果不能代替个人能力，个人退出题与答辩用于核验贡献；抄袭、越界和真实性问题按学校实际规定处理，不由本稿擅设处分。</w:t>
      </w:r>
    </w:p>
    <w:p>
      <w:pPr>
        <w:pStyle w:val="Heading1"/>
      </w:pPr>
      <w:r>
        <w:t>八、反馈、改进与审核记录</w:t>
      </w:r>
    </w:p>
    <w:p>
      <w:pPr>
        <w:jc w:val="both"/>
      </w:pPr>
      <w:r>
        <w:t>教师按数据泄漏、指标分母、聚类标签滥用、关联当因果及公平判断过强建立错误记录。一次实验后依据真实报告选择需要重教的概念，不预填精度提升。对错误处理敏感数据者停止共享，改用合成样例后重交。期末如比较两轮表现，应保持任务口径或解释变化，并附匿名评分依据；不同模型分数的变化不能直接写成学生思想育人成效。公开资源须由专业审核复核技术机制和涉及政策的事实。</w:t>
      </w:r>
    </w:p>
    <w:p>
      <w:pPr>
        <w:jc w:val="both"/>
      </w:pPr>
      <w:r>
        <w:t>教学记录按课程、班级、任务版本、日期及匿名作品编号归档。课堂使用次数、真实参与教师及访问统计单独记录，建设材料不冒充实施证据。教师自检为前置步骤，正式三级流程依申报书为“专业初审（内容准确性）→思政审核（价值导向）→学院评审委员会审定”。审核意见、修订记录和发布版本须能关联，同时核验来源许可与公开范围；审核尚未完成的文件保留“送审稿”标识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