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既有说课片与本资源包关联核对</w:t>
      </w:r>
    </w:p>
    <w:p>
      <w:pPr>
        <w:jc w:val="both"/>
      </w:pPr>
      <w:r>
        <w:t>核对时间：2026-10-10T18:35:17。仅只读关联项目目录，未修改其素材、音频、分镜或成片。</w:t>
      </w:r>
    </w:p>
    <w:p>
      <w:pPr>
        <w:jc w:val="both"/>
      </w:pPr>
      <w:r>
        <w:t>关联项目目录：C:\Users\谢鑫\Documents\Codex\2026-10-10\files-pasted-by-the-user-3\outputs\course_series_10</w:t>
      </w:r>
    </w:p>
    <w:p>
      <w:pPr>
        <w:pStyle w:val="Heading1"/>
      </w:pPr>
      <w:r>
        <w:t>核对方法与复用原则</w:t>
      </w:r>
    </w:p>
    <w:p>
      <w:pPr>
        <w:jc w:val="both"/>
      </w:pPr>
      <w:r>
        <w:t>核对project/course-film/src/courses.json及各assets/&lt;code&gt;/plan600.json中的目标、案例、时序、评价和边界。读取已有声音质量/视频质量报告；已完成成片仅用ffprobe核对基本封装。本报告引用的是原项目质量记录，不把它写成本轮重做的全片试听或全解码。</w:t>
      </w:r>
    </w:p>
    <w:p>
      <w:pPr>
        <w:jc w:val="both"/>
      </w:pPr>
      <w:r>
        <w:t>既有影片为600秒说课汇报，实际分为27场景；本包新增脚本为12×50秒备选稿。两者不能称为同一时间线。原稿课堂片段12或15分钟、本包典型一课90分钟、影片总长10分钟分别表示不同对象。</w:t>
      </w:r>
    </w:p>
    <w:p>
      <w:pPr>
        <w:pStyle w:val="Heading1"/>
      </w:pPr>
      <w:r>
        <w:t>逐课程对应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rPr>
          <w:tblHeader/>
        </w:trPr>
        <w:tc>
          <w:tcPr>
            <w:tcW w:type="dxa" w:w="1805"/>
          </w:tcPr>
          <w:p>
            <w:pPr>
              <w:spacing w:after="60"/>
              <w:ind w:firstLine="0"/>
            </w:pPr>
            <w:r>
              <w:rPr>
                <w:rFonts w:ascii="Calibri" w:hAnsi="Calibri" w:eastAsia="SimSun"/>
                <w:sz w:val="21"/>
                <w14:textOutline w14:w="1905" w14:cap="flat" w14:cmpd="sng" w14:algn="ctr">
                  <w14:solidFill>
                    <w14:srgbClr w14:val="202B3A"/>
                  </w14:solidFill>
                  <w14:prstDash w14:val="solid"/>
                  <w14:round/>
                </w14:textOutline>
              </w:rPr>
              <w:t>课程</w:t>
            </w:r>
          </w:p>
        </w:tc>
        <w:tc>
          <w:tcPr>
            <w:tcW w:type="dxa" w:w="1805"/>
          </w:tcPr>
          <w:p>
            <w:pPr>
              <w:spacing w:after="60"/>
              <w:ind w:firstLine="0"/>
            </w:pPr>
            <w:r>
              <w:rPr>
                <w:rFonts w:ascii="Calibri" w:hAnsi="Calibri" w:eastAsia="SimSun"/>
                <w:sz w:val="21"/>
                <w14:textOutline w14:w="1905" w14:cap="flat" w14:cmpd="sng" w14:algn="ctr">
                  <w14:solidFill>
                    <w14:srgbClr w14:val="202B3A"/>
                  </w14:solidFill>
                  <w14:prstDash w14:val="solid"/>
                  <w14:round/>
                </w14:textOutline>
              </w:rPr>
              <w:t>既有影片示例</w:t>
            </w:r>
          </w:p>
        </w:tc>
        <w:tc>
          <w:tcPr>
            <w:tcW w:type="dxa" w:w="1805"/>
          </w:tcPr>
          <w:p>
            <w:pPr>
              <w:spacing w:after="60"/>
              <w:ind w:firstLine="0"/>
            </w:pPr>
            <w:r>
              <w:rPr>
                <w:rFonts w:ascii="Calibri" w:hAnsi="Calibri" w:eastAsia="SimSun"/>
                <w:sz w:val="21"/>
                <w14:textOutline w14:w="1905" w14:cap="flat" w14:cmpd="sng" w14:algn="ctr">
                  <w14:solidFill>
                    <w14:srgbClr w14:val="202B3A"/>
                  </w14:solidFill>
                  <w14:prstDash w14:val="solid"/>
                  <w14:round/>
                </w14:textOutline>
              </w:rPr>
              <w:t>原课堂片段</w:t>
            </w:r>
          </w:p>
        </w:tc>
        <w:tc>
          <w:tcPr>
            <w:tcW w:type="dxa" w:w="1805"/>
          </w:tcPr>
          <w:p>
            <w:pPr>
              <w:spacing w:after="60"/>
              <w:ind w:firstLine="0"/>
            </w:pPr>
            <w:r>
              <w:rPr>
                <w:rFonts w:ascii="Calibri" w:hAnsi="Calibri" w:eastAsia="SimSun"/>
                <w:sz w:val="21"/>
                <w14:textOutline w14:w="1905" w14:cap="flat" w14:cmpd="sng" w14:algn="ctr">
                  <w14:solidFill>
                    <w14:srgbClr w14:val="202B3A"/>
                  </w14:solidFill>
                  <w14:prstDash w14:val="solid"/>
                  <w14:round/>
                </w14:textOutline>
              </w:rPr>
              <w:t>本包典型课与差异</w:t>
            </w:r>
          </w:p>
        </w:tc>
        <w:tc>
          <w:tcPr>
            <w:tcW w:type="dxa" w:w="1805"/>
          </w:tcPr>
          <w:p>
            <w:pPr>
              <w:spacing w:after="60"/>
              <w:ind w:firstLine="0"/>
            </w:pPr>
            <w:r>
              <w:rPr>
                <w:rFonts w:ascii="Calibri" w:hAnsi="Calibri" w:eastAsia="SimSun"/>
                <w:sz w:val="21"/>
                <w14:textOutline w14:w="1905" w14:cap="flat" w14:cmpd="sng" w14:algn="ctr">
                  <w14:solidFill>
                    <w14:srgbClr w14:val="202B3A"/>
                  </w14:solidFill>
                  <w14:prstDash w14:val="solid"/>
                  <w14:round/>
                </w14:textOutline>
              </w:rPr>
              <w:t>当前采用结论</w:t>
            </w:r>
          </w:p>
        </w:tc>
      </w:tr>
    </w:tbl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rPr>
          <w:tblHeader/>
        </w:trPr>
        <w:tc>
          <w:tcPr>
            <w:tcW w:type="dxa" w:w="1805"/>
          </w:tcPr>
          <w:p>
            <w:pPr>
              <w:spacing w:after="60"/>
              <w:ind w:firstLine="0"/>
            </w:pPr>
            <w:r>
              <w:rPr>
                <w:rFonts w:ascii="Calibri" w:hAnsi="Calibri" w:eastAsia="SimSun"/>
                <w:sz w:val="21"/>
                <w14:textOutline w14:w="1905" w14:cap="flat" w14:cmpd="sng" w14:algn="ctr">
                  <w14:solidFill>
                    <w14:srgbClr w14:val="202B3A"/>
                  </w14:solidFill>
                  <w14:prstDash w14:val="solid"/>
                  <w14:round/>
                </w14:textOutline>
              </w:rPr>
              <w:t>离散数学</w:t>
            </w:r>
          </w:p>
        </w:tc>
        <w:tc>
          <w:tcPr>
            <w:tcW w:type="dxa" w:w="1805"/>
          </w:tcPr>
          <w:p>
            <w:pPr>
              <w:spacing w:after="60"/>
              <w:ind w:firstLine="0"/>
            </w:pPr>
            <w:r>
              <w:rPr>
                <w:rFonts w:ascii="Calibri" w:hAnsi="Calibri" w:eastAsia="SimSun"/>
                <w:sz w:val="21"/>
                <w14:textOutline w14:w="1905" w14:cap="flat" w14:cmpd="sng" w14:algn="ctr">
                  <w14:solidFill>
                    <w14:srgbClr w14:val="202B3A"/>
                  </w14:solidFill>
                  <w14:prstDash w14:val="solid"/>
                  <w14:round/>
                </w14:textOutline>
              </w:rPr>
              <w:t>图的遍历与文化遗产数字化保护；欧拉路径</w:t>
            </w:r>
          </w:p>
        </w:tc>
        <w:tc>
          <w:tcPr>
            <w:tcW w:type="dxa" w:w="1805"/>
          </w:tcPr>
          <w:p>
            <w:pPr>
              <w:spacing w:after="60"/>
              <w:ind w:firstLine="0"/>
            </w:pPr>
            <w:r>
              <w:rPr>
                <w:rFonts w:ascii="Calibri" w:hAnsi="Calibri" w:eastAsia="SimSun"/>
                <w:sz w:val="21"/>
                <w14:textOutline w14:w="1905" w14:cap="flat" w14:cmpd="sng" w14:algn="ctr">
                  <w14:solidFill>
                    <w14:srgbClr w14:val="202B3A"/>
                  </w14:solidFill>
                  <w14:prstDash w14:val="solid"/>
                  <w14:round/>
                </w14:textOutline>
              </w:rPr>
              <w:t>15分钟，3/7/4/1</w:t>
            </w:r>
          </w:p>
        </w:tc>
        <w:tc>
          <w:tcPr>
            <w:tcW w:type="dxa" w:w="1805"/>
          </w:tcPr>
          <w:p>
            <w:pPr>
              <w:spacing w:after="60"/>
              <w:ind w:firstLine="0"/>
            </w:pPr>
            <w:r>
              <w:rPr>
                <w:rFonts w:ascii="Calibri" w:hAnsi="Calibri" w:eastAsia="SimSun"/>
                <w:sz w:val="21"/>
                <w14:textOutline w14:w="1905" w14:cap="flat" w14:cmpd="sng" w14:algn="ctr">
                  <w14:solidFill>
                    <w14:srgbClr w14:val="202B3A"/>
                  </w14:solidFill>
                  <w14:prstDash w14:val="solid"/>
                  <w14:round/>
                </w14:textOutline>
              </w:rPr>
              <w:t>本包典型课为90分钟的合成联系图与广度优先搜索，不与欧拉逐边遍历混写；影片文化遗产案例是原稿补充案例，不计入本包四例。</w:t>
            </w:r>
          </w:p>
        </w:tc>
        <w:tc>
          <w:tcPr>
            <w:tcW w:type="dxa" w:w="1805"/>
          </w:tcPr>
          <w:p>
            <w:pPr>
              <w:spacing w:after="60"/>
              <w:ind w:firstLine="0"/>
            </w:pPr>
            <w:r>
              <w:rPr>
                <w:rFonts w:ascii="Calibri" w:hAnsi="Calibri" w:eastAsia="SimSun"/>
                <w:sz w:val="21"/>
                <w14:textOutline w14:w="1905" w14:cap="flat" w14:cmpd="sng" w14:algn="ctr">
                  <w14:solidFill>
                    <w14:srgbClr w14:val="202B3A"/>
                  </w14:solidFill>
                  <w14:prstDash w14:val="solid"/>
                  <w14:round/>
                </w14:textOutline>
              </w:rPr>
              <w:t>知识、能力和价值目标与本包一致，可作课程说课与原稿补充示例；须随片附本说明和新增量规。</w:t>
            </w:r>
          </w:p>
        </w:tc>
      </w:tr>
    </w:tbl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rPr>
          <w:tblHeader/>
        </w:trPr>
        <w:tc>
          <w:tcPr>
            <w:tcW w:type="dxa" w:w="1805"/>
          </w:tcPr>
          <w:p>
            <w:pPr>
              <w:spacing w:after="60"/>
              <w:ind w:firstLine="0"/>
            </w:pPr>
            <w:r>
              <w:rPr>
                <w:rFonts w:ascii="Calibri" w:hAnsi="Calibri" w:eastAsia="SimSun"/>
                <w:sz w:val="21"/>
                <w14:textOutline w14:w="1905" w14:cap="flat" w14:cmpd="sng" w14:algn="ctr">
                  <w14:solidFill>
                    <w14:srgbClr w14:val="202B3A"/>
                  </w14:solidFill>
                  <w14:prstDash w14:val="solid"/>
                  <w14:round/>
                </w14:textOutline>
              </w:rPr>
              <w:t>C语言程序设计</w:t>
            </w:r>
          </w:p>
        </w:tc>
        <w:tc>
          <w:tcPr>
            <w:tcW w:type="dxa" w:w="1805"/>
          </w:tcPr>
          <w:p>
            <w:pPr>
              <w:spacing w:after="60"/>
              <w:ind w:firstLine="0"/>
            </w:pPr>
            <w:r>
              <w:rPr>
                <w:rFonts w:ascii="Calibri" w:hAnsi="Calibri" w:eastAsia="SimSun"/>
                <w:sz w:val="21"/>
                <w14:textOutline w14:w="1905" w14:cap="flat" w14:cmpd="sng" w14:algn="ctr">
                  <w14:solidFill>
                    <w14:srgbClr w14:val="202B3A"/>
                  </w14:solidFill>
                  <w14:prstDash w14:val="solid"/>
                  <w14:round/>
                </w14:textOutline>
              </w:rPr>
              <w:t>指针与内存管理的工匠精神；动态内存闭环</w:t>
            </w:r>
          </w:p>
        </w:tc>
        <w:tc>
          <w:tcPr>
            <w:tcW w:type="dxa" w:w="1805"/>
          </w:tcPr>
          <w:p>
            <w:pPr>
              <w:spacing w:after="60"/>
              <w:ind w:firstLine="0"/>
            </w:pPr>
            <w:r>
              <w:rPr>
                <w:rFonts w:ascii="Calibri" w:hAnsi="Calibri" w:eastAsia="SimSun"/>
                <w:sz w:val="21"/>
                <w14:textOutline w14:w="1905" w14:cap="flat" w14:cmpd="sng" w14:algn="ctr">
                  <w14:solidFill>
                    <w14:srgbClr w14:val="202B3A"/>
                  </w14:solidFill>
                  <w14:prstDash w14:val="solid"/>
                  <w14:round/>
                </w14:textOutline>
              </w:rPr>
              <w:t>15分钟，3/7/4/1</w:t>
            </w:r>
          </w:p>
        </w:tc>
        <w:tc>
          <w:tcPr>
            <w:tcW w:type="dxa" w:w="1805"/>
          </w:tcPr>
          <w:p>
            <w:pPr>
              <w:spacing w:after="60"/>
              <w:ind w:firstLine="0"/>
            </w:pPr>
            <w:r>
              <w:rPr>
                <w:rFonts w:ascii="Calibri" w:hAnsi="Calibri" w:eastAsia="SimSun"/>
                <w:sz w:val="21"/>
                <w14:textOutline w14:w="1905" w14:cap="flat" w14:cmpd="sng" w14:algn="ctr">
                  <w14:solidFill>
                    <w14:srgbClr w14:val="202B3A"/>
                  </w14:solidFill>
                  <w14:prstDash w14:val="solid"/>
                  <w14:round/>
                </w14:textOutline>
              </w:rPr>
              <w:t>本包典型课为90分钟字符串边界与输入检查；影片动态内存示例对应本包案例二，二者分别覆盖数组边界与生命周期。</w:t>
            </w:r>
          </w:p>
        </w:tc>
        <w:tc>
          <w:tcPr>
            <w:tcW w:type="dxa" w:w="1805"/>
          </w:tcPr>
          <w:p>
            <w:pPr>
              <w:spacing w:after="60"/>
              <w:ind w:firstLine="0"/>
            </w:pPr>
            <w:r>
              <w:rPr>
                <w:rFonts w:ascii="Calibri" w:hAnsi="Calibri" w:eastAsia="SimSun"/>
                <w:sz w:val="21"/>
                <w14:textOutline w14:w="1905" w14:cap="flat" w14:cmpd="sng" w14:algn="ctr">
                  <w14:solidFill>
                    <w14:srgbClr w14:val="202B3A"/>
                  </w14:solidFill>
                  <w14:prstDash w14:val="solid"/>
                  <w14:round/>
                </w14:textOutline>
              </w:rPr>
              <w:t>可作为本包课程说课，动态内存案例直接关联；须附本包100分量规和90分钟示例课说明。</w:t>
            </w:r>
          </w:p>
        </w:tc>
      </w:tr>
    </w:tbl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rPr>
          <w:tblHeader/>
        </w:trPr>
        <w:tc>
          <w:tcPr>
            <w:tcW w:type="dxa" w:w="1805"/>
          </w:tcPr>
          <w:p>
            <w:pPr>
              <w:spacing w:after="60"/>
              <w:ind w:firstLine="0"/>
            </w:pPr>
            <w:r>
              <w:rPr>
                <w:rFonts w:ascii="Calibri" w:hAnsi="Calibri" w:eastAsia="SimSun"/>
                <w:sz w:val="21"/>
                <w14:textOutline w14:w="1905" w14:cap="flat" w14:cmpd="sng" w14:algn="ctr">
                  <w14:solidFill>
                    <w14:srgbClr w14:val="202B3A"/>
                  </w14:solidFill>
                  <w14:prstDash w14:val="solid"/>
                  <w14:round/>
                </w14:textOutline>
              </w:rPr>
              <w:t>网络安全技术</w:t>
            </w:r>
          </w:p>
        </w:tc>
        <w:tc>
          <w:tcPr>
            <w:tcW w:type="dxa" w:w="1805"/>
          </w:tcPr>
          <w:p>
            <w:pPr>
              <w:spacing w:after="60"/>
              <w:ind w:firstLine="0"/>
            </w:pPr>
            <w:r>
              <w:rPr>
                <w:rFonts w:ascii="Calibri" w:hAnsi="Calibri" w:eastAsia="SimSun"/>
                <w:sz w:val="21"/>
                <w14:textOutline w14:w="1905" w14:cap="flat" w14:cmpd="sng" w14:algn="ctr">
                  <w14:solidFill>
                    <w14:srgbClr w14:val="202B3A"/>
                  </w14:solidFill>
                  <w14:prstDash w14:val="solid"/>
                  <w14:round/>
                </w14:textOutline>
              </w:rPr>
              <w:t>纵深防御体系与安全责任落实</w:t>
            </w:r>
          </w:p>
        </w:tc>
        <w:tc>
          <w:tcPr>
            <w:tcW w:type="dxa" w:w="1805"/>
          </w:tcPr>
          <w:p>
            <w:pPr>
              <w:spacing w:after="60"/>
              <w:ind w:firstLine="0"/>
            </w:pPr>
            <w:r>
              <w:rPr>
                <w:rFonts w:ascii="Calibri" w:hAnsi="Calibri" w:eastAsia="SimSun"/>
                <w:sz w:val="21"/>
                <w14:textOutline w14:w="1905" w14:cap="flat" w14:cmpd="sng" w14:algn="ctr">
                  <w14:solidFill>
                    <w14:srgbClr w14:val="202B3A"/>
                  </w14:solidFill>
                  <w14:prstDash w14:val="solid"/>
                  <w14:round/>
                </w14:textOutline>
              </w:rPr>
              <w:t>12分钟，2/5/4/1</w:t>
            </w:r>
          </w:p>
        </w:tc>
        <w:tc>
          <w:tcPr>
            <w:tcW w:type="dxa" w:w="1805"/>
          </w:tcPr>
          <w:p>
            <w:pPr>
              <w:spacing w:after="60"/>
              <w:ind w:firstLine="0"/>
            </w:pPr>
            <w:r>
              <w:rPr>
                <w:rFonts w:ascii="Calibri" w:hAnsi="Calibri" w:eastAsia="SimSun"/>
                <w:sz w:val="21"/>
                <w14:textOutline w14:w="1905" w14:cap="flat" w14:cmpd="sng" w14:algn="ctr">
                  <w14:solidFill>
                    <w14:srgbClr w14:val="202B3A"/>
                  </w14:solidFill>
                  <w14:prstDash w14:val="solid"/>
                  <w14:round/>
                </w14:textOutline>
              </w:rPr>
              <w:t>本包典型课为90分钟虚构预约服务的纵深防御评审，细化权限矩阵、允许/拒绝验证、恢复和残余风险。</w:t>
            </w:r>
          </w:p>
        </w:tc>
        <w:tc>
          <w:tcPr>
            <w:tcW w:type="dxa" w:w="1805"/>
          </w:tcPr>
          <w:p>
            <w:pPr>
              <w:spacing w:after="60"/>
              <w:ind w:firstLine="0"/>
            </w:pPr>
            <w:r>
              <w:rPr>
                <w:rFonts w:ascii="Calibri" w:hAnsi="Calibri" w:eastAsia="SimSun"/>
                <w:sz w:val="21"/>
                <w14:textOutline w14:w="1905" w14:cap="flat" w14:cmpd="sng" w14:algn="ctr">
                  <w14:solidFill>
                    <w14:srgbClr w14:val="202B3A"/>
                  </w14:solidFill>
                  <w14:prstDash w14:val="solid"/>
                  <w14:round/>
                </w14:textOutline>
              </w:rPr>
              <w:t>可作为本包课程说课，影片案例直接对应案例四；新增量规和授权范围另附，不将影片片段写成完整90分钟课。</w:t>
            </w:r>
          </w:p>
        </w:tc>
      </w:tr>
    </w:tbl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rPr>
          <w:tblHeader/>
        </w:trPr>
        <w:tc>
          <w:tcPr>
            <w:tcW w:type="dxa" w:w="1805"/>
          </w:tcPr>
          <w:p>
            <w:pPr>
              <w:spacing w:after="60"/>
              <w:ind w:firstLine="0"/>
            </w:pPr>
            <w:r>
              <w:rPr>
                <w:rFonts w:ascii="Calibri" w:hAnsi="Calibri" w:eastAsia="SimSun"/>
                <w:sz w:val="21"/>
                <w14:textOutline w14:w="1905" w14:cap="flat" w14:cmpd="sng" w14:algn="ctr">
                  <w14:solidFill>
                    <w14:srgbClr w14:val="202B3A"/>
                  </w14:solidFill>
                  <w14:prstDash w14:val="solid"/>
                  <w14:round/>
                </w14:textOutline>
              </w:rPr>
              <w:t>嵌入式系统</w:t>
            </w:r>
          </w:p>
        </w:tc>
        <w:tc>
          <w:tcPr>
            <w:tcW w:type="dxa" w:w="1805"/>
          </w:tcPr>
          <w:p>
            <w:pPr>
              <w:spacing w:after="60"/>
              <w:ind w:firstLine="0"/>
            </w:pPr>
            <w:r>
              <w:rPr>
                <w:rFonts w:ascii="Calibri" w:hAnsi="Calibri" w:eastAsia="SimSun"/>
                <w:sz w:val="21"/>
                <w14:textOutline w14:w="1905" w14:cap="flat" w14:cmpd="sng" w14:algn="ctr">
                  <w14:solidFill>
                    <w14:srgbClr w14:val="202B3A"/>
                  </w14:solidFill>
                  <w14:prstDash w14:val="solid"/>
                  <w14:round/>
                </w14:textOutline>
              </w:rPr>
              <w:t>工业物联网与智能制造中的嵌入式安全；Linux设备驱动</w:t>
            </w:r>
          </w:p>
        </w:tc>
        <w:tc>
          <w:tcPr>
            <w:tcW w:type="dxa" w:w="1805"/>
          </w:tcPr>
          <w:p>
            <w:pPr>
              <w:spacing w:after="60"/>
              <w:ind w:firstLine="0"/>
            </w:pPr>
            <w:r>
              <w:rPr>
                <w:rFonts w:ascii="Calibri" w:hAnsi="Calibri" w:eastAsia="SimSun"/>
                <w:sz w:val="21"/>
                <w14:textOutline w14:w="1905" w14:cap="flat" w14:cmpd="sng" w14:algn="ctr">
                  <w14:solidFill>
                    <w14:srgbClr w14:val="202B3A"/>
                  </w14:solidFill>
                  <w14:prstDash w14:val="solid"/>
                  <w14:round/>
                </w14:textOutline>
              </w:rPr>
              <w:t>15分钟，3/7/4/1</w:t>
            </w:r>
          </w:p>
        </w:tc>
        <w:tc>
          <w:tcPr>
            <w:tcW w:type="dxa" w:w="1805"/>
          </w:tcPr>
          <w:p>
            <w:pPr>
              <w:spacing w:after="60"/>
              <w:ind w:firstLine="0"/>
            </w:pPr>
            <w:r>
              <w:rPr>
                <w:rFonts w:ascii="Calibri" w:hAnsi="Calibri" w:eastAsia="SimSun"/>
                <w:sz w:val="21"/>
                <w14:textOutline w14:w="1905" w14:cap="flat" w14:cmpd="sng" w14:algn="ctr">
                  <w14:solidFill>
                    <w14:srgbClr w14:val="202B3A"/>
                  </w14:solidFill>
                  <w14:prstDash w14:val="solid"/>
                  <w14:round/>
                </w14:textOutline>
              </w:rPr>
              <w:t>本包典型课为90分钟虚拟灌溉状态机和故障安全；影片强调驱动输入、权限与中断处理，对应案例一及接口安全学习，不代替本包控制状态机测试。</w:t>
            </w:r>
          </w:p>
        </w:tc>
        <w:tc>
          <w:tcPr>
            <w:tcW w:type="dxa" w:w="1805"/>
          </w:tcPr>
          <w:p>
            <w:pPr>
              <w:spacing w:after="60"/>
              <w:ind w:firstLine="0"/>
            </w:pPr>
            <w:r>
              <w:rPr>
                <w:rFonts w:ascii="Calibri" w:hAnsi="Calibri" w:eastAsia="SimSun"/>
                <w:sz w:val="21"/>
                <w14:textOutline w14:w="1905" w14:cap="flat" w14:cmpd="sng" w14:algn="ctr">
                  <w14:solidFill>
                    <w14:srgbClr w14:val="202B3A"/>
                  </w14:solidFill>
                  <w14:prstDash w14:val="solid"/>
                  <w14:round/>
                </w14:textOutline>
              </w:rPr>
              <w:t>可作为课程说课和驱动安全补充示例；须保留本包实时、状态机及故障证据要求，正式大纲确认时与原Linux/ARM章节核对。</w:t>
            </w:r>
          </w:p>
        </w:tc>
      </w:tr>
    </w:tbl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rPr>
          <w:tblHeader/>
        </w:trPr>
        <w:tc>
          <w:tcPr>
            <w:tcW w:type="dxa" w:w="1805"/>
          </w:tcPr>
          <w:p>
            <w:pPr>
              <w:spacing w:after="60"/>
              <w:ind w:firstLine="0"/>
            </w:pPr>
            <w:r>
              <w:rPr>
                <w:rFonts w:ascii="Calibri" w:hAnsi="Calibri" w:eastAsia="SimSun"/>
                <w:sz w:val="21"/>
                <w14:textOutline w14:w="1905" w14:cap="flat" w14:cmpd="sng" w14:algn="ctr">
                  <w14:solidFill>
                    <w14:srgbClr w14:val="202B3A"/>
                  </w14:solidFill>
                  <w14:prstDash w14:val="solid"/>
                  <w14:round/>
                </w14:textOutline>
              </w:rPr>
              <w:t>数据挖掘</w:t>
            </w:r>
          </w:p>
        </w:tc>
        <w:tc>
          <w:tcPr>
            <w:tcW w:type="dxa" w:w="1805"/>
          </w:tcPr>
          <w:p>
            <w:pPr>
              <w:spacing w:after="60"/>
              <w:ind w:firstLine="0"/>
            </w:pPr>
            <w:r>
              <w:rPr>
                <w:rFonts w:ascii="Calibri" w:hAnsi="Calibri" w:eastAsia="SimSun"/>
                <w:sz w:val="21"/>
                <w14:textOutline w14:w="1905" w14:cap="flat" w14:cmpd="sng" w14:algn="ctr">
                  <w14:solidFill>
                    <w14:srgbClr w14:val="202B3A"/>
                  </w14:solidFill>
                  <w14:prstDash w14:val="solid"/>
                  <w14:round/>
                </w14:textOutline>
              </w:rPr>
              <w:t>AI招聘算法中的公平性问题；近邻与分组审计</w:t>
            </w:r>
          </w:p>
        </w:tc>
        <w:tc>
          <w:tcPr>
            <w:tcW w:type="dxa" w:w="1805"/>
          </w:tcPr>
          <w:p>
            <w:pPr>
              <w:spacing w:after="60"/>
              <w:ind w:firstLine="0"/>
            </w:pPr>
            <w:r>
              <w:rPr>
                <w:rFonts w:ascii="Calibri" w:hAnsi="Calibri" w:eastAsia="SimSun"/>
                <w:sz w:val="21"/>
                <w14:textOutline w14:w="1905" w14:cap="flat" w14:cmpd="sng" w14:algn="ctr">
                  <w14:solidFill>
                    <w14:srgbClr w14:val="202B3A"/>
                  </w14:solidFill>
                  <w14:prstDash w14:val="solid"/>
                  <w14:round/>
                </w14:textOutline>
              </w:rPr>
              <w:t>12分钟，2/5/4/1</w:t>
            </w:r>
          </w:p>
        </w:tc>
        <w:tc>
          <w:tcPr>
            <w:tcW w:type="dxa" w:w="1805"/>
          </w:tcPr>
          <w:p>
            <w:pPr>
              <w:spacing w:after="60"/>
              <w:ind w:firstLine="0"/>
            </w:pPr>
            <w:r>
              <w:rPr>
                <w:rFonts w:ascii="Calibri" w:hAnsi="Calibri" w:eastAsia="SimSun"/>
                <w:sz w:val="21"/>
                <w14:textOutline w14:w="1905" w14:cap="flat" w14:cmpd="sng" w14:algn="ctr">
                  <w14:solidFill>
                    <w14:srgbClr w14:val="202B3A"/>
                  </w14:solidFill>
                  <w14:prstDash w14:val="solid"/>
                  <w14:round/>
                </w14:textOutline>
              </w:rPr>
              <w:t>本包90分钟合成招聘分类课由影片原12分钟片段扩展，补训练集拟合预处理、固定划分、指标分母和同伴复现。</w:t>
            </w:r>
          </w:p>
        </w:tc>
        <w:tc>
          <w:tcPr>
            <w:tcW w:type="dxa" w:w="1805"/>
          </w:tcPr>
          <w:p>
            <w:pPr>
              <w:spacing w:after="60"/>
              <w:ind w:firstLine="0"/>
            </w:pPr>
            <w:r>
              <w:rPr>
                <w:rFonts w:ascii="Calibri" w:hAnsi="Calibri" w:eastAsia="SimSun"/>
                <w:sz w:val="21"/>
                <w14:textOutline w14:w="1905" w14:cap="flat" w14:cmpd="sng" w14:algn="ctr">
                  <w14:solidFill>
                    <w14:srgbClr w14:val="202B3A"/>
                  </w14:solidFill>
                  <w14:prstDash w14:val="solid"/>
                  <w14:round/>
                </w14:textOutline>
              </w:rPr>
              <w:t>可直接作为课程说课，任务与本包案例三高度对应；100分量规是本包新增送审设计，影片未声称已执行权重。</w:t>
            </w:r>
          </w:p>
        </w:tc>
      </w:tr>
    </w:tbl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rPr>
          <w:tblHeader/>
        </w:trPr>
        <w:tc>
          <w:tcPr>
            <w:tcW w:type="dxa" w:w="1805"/>
          </w:tcPr>
          <w:p>
            <w:pPr>
              <w:spacing w:after="60"/>
              <w:ind w:firstLine="0"/>
            </w:pPr>
            <w:r>
              <w:rPr>
                <w:rFonts w:ascii="Calibri" w:hAnsi="Calibri" w:eastAsia="SimSun"/>
                <w:sz w:val="21"/>
                <w14:textOutline w14:w="1905" w14:cap="flat" w14:cmpd="sng" w14:algn="ctr">
                  <w14:solidFill>
                    <w14:srgbClr w14:val="202B3A"/>
                  </w14:solidFill>
                  <w14:prstDash w14:val="solid"/>
                  <w14:round/>
                </w14:textOutline>
              </w:rPr>
              <w:t>AI工程概览</w:t>
            </w:r>
          </w:p>
        </w:tc>
        <w:tc>
          <w:tcPr>
            <w:tcW w:type="dxa" w:w="1805"/>
          </w:tcPr>
          <w:p>
            <w:pPr>
              <w:spacing w:after="60"/>
              <w:ind w:firstLine="0"/>
            </w:pPr>
            <w:r>
              <w:rPr>
                <w:rFonts w:ascii="Calibri" w:hAnsi="Calibri" w:eastAsia="SimSun"/>
                <w:sz w:val="21"/>
                <w14:textOutline w14:w="1905" w14:cap="flat" w14:cmpd="sng" w14:algn="ctr">
                  <w14:solidFill>
                    <w14:srgbClr w14:val="202B3A"/>
                  </w14:solidFill>
                  <w14:prstDash w14:val="solid"/>
                  <w14:round/>
                </w14:textOutline>
              </w:rPr>
              <w:t>AI幻觉与责任边界；检索与人工核查</w:t>
            </w:r>
          </w:p>
        </w:tc>
        <w:tc>
          <w:tcPr>
            <w:tcW w:type="dxa" w:w="1805"/>
          </w:tcPr>
          <w:p>
            <w:pPr>
              <w:spacing w:after="60"/>
              <w:ind w:firstLine="0"/>
            </w:pPr>
            <w:r>
              <w:rPr>
                <w:rFonts w:ascii="Calibri" w:hAnsi="Calibri" w:eastAsia="SimSun"/>
                <w:sz w:val="21"/>
                <w14:textOutline w14:w="1905" w14:cap="flat" w14:cmpd="sng" w14:algn="ctr">
                  <w14:solidFill>
                    <w14:srgbClr w14:val="202B3A"/>
                  </w14:solidFill>
                  <w14:prstDash w14:val="solid"/>
                  <w14:round/>
                </w14:textOutline>
              </w:rPr>
              <w:t>15分钟，3/7/4/1</w:t>
            </w:r>
          </w:p>
        </w:tc>
        <w:tc>
          <w:tcPr>
            <w:tcW w:type="dxa" w:w="1805"/>
          </w:tcPr>
          <w:p>
            <w:pPr>
              <w:spacing w:after="60"/>
              <w:ind w:firstLine="0"/>
            </w:pPr>
            <w:r>
              <w:rPr>
                <w:rFonts w:ascii="Calibri" w:hAnsi="Calibri" w:eastAsia="SimSun"/>
                <w:sz w:val="21"/>
                <w14:textOutline w14:w="1905" w14:cap="flat" w14:cmpd="sng" w14:algn="ctr">
                  <w14:solidFill>
                    <w14:srgbClr w14:val="202B3A"/>
                  </w14:solidFill>
                  <w14:prstDash w14:val="solid"/>
                  <w14:round/>
                </w14:textOutline>
              </w:rPr>
              <w:t>本包90分钟离线文档助手课扩展核验、拒答、干扰输入、许可和评估；正式专业归属尚待确认。</w:t>
            </w:r>
          </w:p>
        </w:tc>
        <w:tc>
          <w:tcPr>
            <w:tcW w:type="dxa" w:w="1805"/>
          </w:tcPr>
          <w:p>
            <w:pPr>
              <w:spacing w:after="60"/>
              <w:ind w:firstLine="0"/>
            </w:pPr>
            <w:r>
              <w:rPr>
                <w:rFonts w:ascii="Calibri" w:hAnsi="Calibri" w:eastAsia="SimSun"/>
                <w:sz w:val="21"/>
                <w14:textOutline w14:w="1905" w14:cap="flat" w14:cmpd="sng" w14:algn="ctr">
                  <w14:solidFill>
                    <w14:srgbClr w14:val="202B3A"/>
                  </w14:solidFill>
                  <w14:prstDash w14:val="solid"/>
                  <w14:round/>
                </w14:textOutline>
              </w:rPr>
              <w:t>技术目标和幻觉案例可复用；18—40秒identity音频明确称“面向区块链工程专业”，与本包候选映射冲突，不能直接作为专业覆盖或正式认定证据。需改该段本人配音并同步字幕/画面，或经正式专业确认后决定。</w:t>
            </w:r>
          </w:p>
        </w:tc>
      </w:tr>
    </w:tbl>
    <w:p>
      <w:pPr>
        <w:pStyle w:val="Heading1"/>
      </w:pPr>
      <w:r>
        <w:t>实际文件与质量快照</w:t>
      </w:r>
    </w:p>
    <w:p>
      <w:pPr>
        <w:pStyle w:val="Heading2"/>
      </w:pPr>
      <w:r>
        <w:t>离散数学</w:t>
      </w:r>
    </w:p>
    <w:p>
      <w:pPr>
        <w:jc w:val="both"/>
      </w:pPr>
      <w:r>
        <w:t>计划：C:\Users\谢鑫\Documents\Codex\2026-10-10\files-pasted-by-the-user-3\outputs\course_series_10\assets\discrete\plan600.json</w:t>
      </w:r>
    </w:p>
    <w:p>
      <w:pPr>
        <w:jc w:val="both"/>
      </w:pPr>
      <w:r>
        <w:t>场景数：27；0—600秒连续性：True。</w:t>
      </w:r>
    </w:p>
    <w:p>
      <w:pPr>
        <w:jc w:val="both"/>
      </w:pPr>
      <w:r>
        <w:t>成片：C:\Users\谢鑫\Documents\Codex\2026-10-10\files-pasted-by-the-user-3\outputs\course_series_10\final\离散数学_10分钟说课_本人配音.mp4；核对时存在：False。</w:t>
      </w:r>
    </w:p>
    <w:p>
      <w:pPr>
        <w:jc w:val="both"/>
      </w:pPr>
      <w:r>
        <w:t>读取原声音质量报告：{"allPassed": true, "simMin": 0.7306298017501831, "cerMax": 0.02857142857142857, "voice": "用户本人克隆声音 / lecture"}</w:t>
      </w:r>
    </w:p>
    <w:p>
      <w:pPr>
        <w:jc w:val="both"/>
      </w:pPr>
      <w:r>
        <w:t>原视频quality/verification.json尚未存在；等待原项目完成后读取，不把计划当完成成片。</w:t>
      </w:r>
    </w:p>
    <w:p>
      <w:pPr>
        <w:jc w:val="both"/>
      </w:pPr>
      <w:r>
        <w:t>核对段 goals，82—108秒：知识目标是理解离散对象的数量计算、数论、集合、关系、逻辑、图与代数结构。能力目标是建立模型，开展推理，实现算法并验证边界。价值目标是培养科学精神、工程责任与创新意识，让逻辑严谨表现为条件完整、证据清楚和诚实表达。</w:t>
      </w:r>
    </w:p>
    <w:p>
      <w:pPr>
        <w:jc w:val="both"/>
      </w:pPr>
      <w:r>
        <w:t>核对段 lesson，225—245秒：实施选择图的访问方法与文化遗产数字化保护，对应特殊图中的欧拉图。原教学环节为十五分钟：三分钟导入，七分钟技术讲解，四分钟讨论，一分钟小结。下面采用简化扫描路线图解释数学条件，场景和路径均为教学示意。</w:t>
      </w:r>
    </w:p>
    <w:p>
      <w:pPr>
        <w:jc w:val="both"/>
      </w:pPr>
      <w:r>
        <w:t>核对段 rubric，490—514秒：作品评价计划关注定义准确、论证完整、实现正确和应用有界。既看程序能否运行，也检查证明是否遗漏假设。让原命题不成立的例子是否有效，模型是否说明现实限制，也需要说明。量规提前公开，帮助学生把严谨要求转化为可以检查和改进的具体步骤。</w:t>
      </w:r>
    </w:p>
    <w:p>
      <w:pPr>
        <w:pStyle w:val="Heading2"/>
      </w:pPr>
      <w:r>
        <w:t>C语言程序设计</w:t>
      </w:r>
    </w:p>
    <w:p>
      <w:pPr>
        <w:jc w:val="both"/>
      </w:pPr>
      <w:r>
        <w:t>计划：C:\Users\谢鑫\Documents\Codex\2026-10-10\files-pasted-by-the-user-3\outputs\course_series_10\assets\c\plan600.json</w:t>
      </w:r>
    </w:p>
    <w:p>
      <w:pPr>
        <w:jc w:val="both"/>
      </w:pPr>
      <w:r>
        <w:t>场景数：27；0—600秒连续性：True。</w:t>
      </w:r>
    </w:p>
    <w:p>
      <w:pPr>
        <w:jc w:val="both"/>
      </w:pPr>
      <w:r>
        <w:t>成片：C:\Users\谢鑫\Documents\Codex\2026-10-10\files-pasted-by-the-user-3\outputs\course_series_10\final\C语言程序设计_10分钟说课_本人配音.mp4；核对时存在：True。</w:t>
      </w:r>
    </w:p>
    <w:p>
      <w:pPr>
        <w:jc w:val="both"/>
      </w:pPr>
      <w:r>
        <w:t>本轮ffprobe：{"programs": [], "stream_groups": [], "streams": [{"codec_name": "h264", "codec_type": "video", "width": 1920, "height": 1080, "avg_frame_rate": "30/1"}, {"codec_name": "aac", "codec_type": "audio", "avg_frame_rate": "0/0"}], "format": {"duration": "600.000000"}}</w:t>
      </w:r>
    </w:p>
    <w:p>
      <w:pPr>
        <w:jc w:val="both"/>
      </w:pPr>
      <w:r>
        <w:t>读取原声音质量报告：{"allPassed": true, "simMin": 0.732718825340271, "cerMax": 0.029411764705882353, "voice": "用户本人克隆声音 / lecture"}</w:t>
      </w:r>
    </w:p>
    <w:p>
      <w:pPr>
        <w:jc w:val="both"/>
      </w:pPr>
      <w:r>
        <w:t>读取原视频质量报告：{"duration": 600.0, "fullDecode": true, "subtitlesVerified": true}</w:t>
      </w:r>
    </w:p>
    <w:p>
      <w:pPr>
        <w:jc w:val="both"/>
      </w:pPr>
      <w:r>
        <w:t>核对段 goals，82—108秒：知识目标是理解类型、控制结构、函数、指针与文件等基本机制。能力目标是把需求分解为可实现的模块，完成编码、调试与测试。育人目标是重视安全、质量和协作责任。三个目标共同落到可解释的代码、有效的测试记录和清晰的设计说明。</w:t>
      </w:r>
    </w:p>
    <w:p>
      <w:pPr>
        <w:jc w:val="both"/>
      </w:pPr>
      <w:r>
        <w:t>核对段 lesson，225—245秒：以下选择原案例四，指针与内存管理的工匠精神。原设计为十五分钟：导入三分钟、技术七分钟、讨论四分钟、小结一分钟。教学围绕申请、使用和释放展开，让学生理解资源责任，将严谨落实到检查。</w:t>
      </w:r>
    </w:p>
    <w:p>
      <w:pPr>
        <w:jc w:val="both"/>
      </w:pPr>
      <w:r>
        <w:t>核对段 rubric，490—514秒：教学评价计划围绕四项标准展开：需求分解、机制解释、异常验证和修改记录。基础达标强调完成可靠的小任务，进阶表现强调迁移与解释。评价看成果与证据，具体权重依据学校课程要求确定，视频不预设已执行成绩或教学效果。</w:t>
      </w:r>
    </w:p>
    <w:p>
      <w:pPr>
        <w:pStyle w:val="Heading2"/>
      </w:pPr>
      <w:r>
        <w:t>网络安全技术</w:t>
      </w:r>
    </w:p>
    <w:p>
      <w:pPr>
        <w:jc w:val="both"/>
      </w:pPr>
      <w:r>
        <w:t>计划：C:\Users\谢鑫\Documents\Codex\2026-10-10\files-pasted-by-the-user-3\outputs\course_series_10\assets\security\plan600.json</w:t>
      </w:r>
    </w:p>
    <w:p>
      <w:pPr>
        <w:jc w:val="both"/>
      </w:pPr>
      <w:r>
        <w:t>场景数：27；0—600秒连续性：True。</w:t>
      </w:r>
    </w:p>
    <w:p>
      <w:pPr>
        <w:jc w:val="both"/>
      </w:pPr>
      <w:r>
        <w:t>成片：C:\Users\谢鑫\Documents\Codex\2026-10-10\files-pasted-by-the-user-3\outputs\course_series_10\final\网络安全技术_10分钟说课_本人配音.mp4；核对时存在：True。</w:t>
      </w:r>
    </w:p>
    <w:p>
      <w:pPr>
        <w:jc w:val="both"/>
      </w:pPr>
      <w:r>
        <w:t>本轮ffprobe：{"programs": [], "stream_groups": [], "streams": [{"codec_name": "h264", "codec_type": "video", "width": 1920, "height": 1080, "avg_frame_rate": "30/1"}, {"codec_name": "aac", "codec_type": "audio", "avg_frame_rate": "0/0"}], "format": {"duration": "600.000000"}}</w:t>
      </w:r>
    </w:p>
    <w:p>
      <w:pPr>
        <w:jc w:val="both"/>
      </w:pPr>
      <w:r>
        <w:t>读取原声音质量报告：{"allPassed": true, "simMin": 0.7313821315765381, "cerMax": 0.029411764705882353, "voice": "用户本人克隆声音 / lecture"}</w:t>
      </w:r>
    </w:p>
    <w:p>
      <w:pPr>
        <w:jc w:val="both"/>
      </w:pPr>
      <w:r>
        <w:t>读取原视频质量报告：{"duration": 600.0, "fullDecode": true, "subtitlesVerified": true}</w:t>
      </w:r>
    </w:p>
    <w:p>
      <w:pPr>
        <w:jc w:val="both"/>
      </w:pPr>
      <w:r>
        <w:t>核对段 goals，82—108秒：知识目标是理解恶意代码、攻击原理、访问控制、加密、系统和应用安全。能力目标是依据证据识别风险，设计防护与响应方案。育人目标是维护公共安全、尊重权利并遵守职业边界。学生通过风险图、防护设计和规范记录，展示目标达成的依据。</w:t>
      </w:r>
    </w:p>
    <w:p>
      <w:pPr>
        <w:jc w:val="both"/>
      </w:pPr>
      <w:r>
        <w:t>核对段 lesson，225—245秒：以下选择原案例十，纵深防御体系与安全责任落实。原设计为十二分钟：导入两分钟、技术五分钟、思政融入四分钟、实践一分钟。课堂追问已有防护为何仍可能失守，从单点措施走向技术、管理和人员协同防护。</w:t>
      </w:r>
    </w:p>
    <w:p>
      <w:pPr>
        <w:jc w:val="both"/>
      </w:pPr>
      <w:r>
        <w:t>核对段 rubric，490—514秒：量规拟设置机制准确、措施合理、边界清楚和记录完整四项。基础达标解释风险并提出对应防护；进阶表现考虑措施失效、业务影响与协作。评价依据成果与论证，权重结合课程要求确定，不预设已取得成效。</w:t>
      </w:r>
    </w:p>
    <w:p>
      <w:pPr>
        <w:pStyle w:val="Heading2"/>
      </w:pPr>
      <w:r>
        <w:t>嵌入式系统</w:t>
      </w:r>
    </w:p>
    <w:p>
      <w:pPr>
        <w:jc w:val="both"/>
      </w:pPr>
      <w:r>
        <w:t>计划：C:\Users\谢鑫\Documents\Codex\2026-10-10\files-pasted-by-the-user-3\outputs\course_series_10\assets\embedded\plan600.json</w:t>
      </w:r>
    </w:p>
    <w:p>
      <w:pPr>
        <w:jc w:val="both"/>
      </w:pPr>
      <w:r>
        <w:t>场景数：27；0—600秒连续性：True。</w:t>
      </w:r>
    </w:p>
    <w:p>
      <w:pPr>
        <w:jc w:val="both"/>
      </w:pPr>
      <w:r>
        <w:t>成片：C:\Users\谢鑫\Documents\Codex\2026-10-10\files-pasted-by-the-user-3\outputs\course_series_10\final\嵌入式系统教程_10分钟说课_本人配音.mp4；核对时存在：True。</w:t>
      </w:r>
    </w:p>
    <w:p>
      <w:pPr>
        <w:jc w:val="both"/>
      </w:pPr>
      <w:r>
        <w:t>本轮ffprobe：{"programs": [], "stream_groups": [], "streams": [{"codec_name": "h264", "codec_type": "video", "width": 1920, "height": 1080, "avg_frame_rate": "30/1"}, {"codec_name": "aac", "codec_type": "audio", "avg_frame_rate": "0/0"}], "format": {"duration": "600.000000"}}</w:t>
      </w:r>
    </w:p>
    <w:p>
      <w:pPr>
        <w:jc w:val="both"/>
      </w:pPr>
      <w:r>
        <w:t>读取原声音质量报告：{"allPassed": true, "simMin": 0.7342575192451477, "cerMax": 0.029411764705882353, "voice": "用户本人克隆声音 / lecture"}</w:t>
      </w:r>
    </w:p>
    <w:p>
      <w:pPr>
        <w:jc w:val="both"/>
      </w:pPr>
      <w:r>
        <w:t>读取原视频质量报告：{"duration": 600.0, "fullDecode": true, "subtitlesVerified": true}</w:t>
      </w:r>
    </w:p>
    <w:p>
      <w:pPr>
        <w:jc w:val="both"/>
      </w:pPr>
      <w:r>
        <w:t>核对段 goals，82—108秒：知识目标是理解ARM架构、Linux内核、驱动结构、移植与应用。能力目标是构建开发环境，编写设备驱动，分析时序并完成边界测试。价值目标是在自主创新、开源协作和设备安全中，形成科学精神、创新意识与职业责任。</w:t>
      </w:r>
    </w:p>
    <w:p>
      <w:pPr>
        <w:jc w:val="both"/>
      </w:pPr>
      <w:r>
        <w:t>核对段 lesson，225—245秒：课堂实施选用工业物联网与智能制造中的嵌入式安全，对应Linux设备驱动结构。原教学设计为十五分钟：三分钟导入，七分钟技术讲解，四分钟讨论，一分钟小结。下面展开的是这段课堂设计，完整说课视频时长为十分钟。</w:t>
      </w:r>
    </w:p>
    <w:p>
      <w:pPr>
        <w:jc w:val="both"/>
      </w:pPr>
      <w:r>
        <w:t>核对段 rubric，490—514秒：作品评价计划关注四个方面：接口与功能是否正确，异常处理是否完整，测试是否覆盖边界，文档是否说明责任和限制。能够运行是起点，能够解释和验证是进一步要求。评分规则提前公开，帮助学生把质量要求转化为具体行动。</w:t>
      </w:r>
    </w:p>
    <w:p>
      <w:pPr>
        <w:pStyle w:val="Heading2"/>
      </w:pPr>
      <w:r>
        <w:t>数据挖掘</w:t>
      </w:r>
    </w:p>
    <w:p>
      <w:pPr>
        <w:jc w:val="both"/>
      </w:pPr>
      <w:r>
        <w:t>计划：C:\Users\谢鑫\Documents\Codex\2026-10-10\files-pasted-by-the-user-3\outputs\course_series_10\assets\mining\plan600.json</w:t>
      </w:r>
    </w:p>
    <w:p>
      <w:pPr>
        <w:jc w:val="both"/>
      </w:pPr>
      <w:r>
        <w:t>场景数：27；0—600秒连续性：True。</w:t>
      </w:r>
    </w:p>
    <w:p>
      <w:pPr>
        <w:jc w:val="both"/>
      </w:pPr>
      <w:r>
        <w:t>成片：C:\Users\谢鑫\Documents\Codex\2026-10-10\files-pasted-by-the-user-3\outputs\course_series_10\final\数据挖掘_10分钟说课_本人配音.mp4；核对时存在：True。</w:t>
      </w:r>
    </w:p>
    <w:p>
      <w:pPr>
        <w:jc w:val="both"/>
      </w:pPr>
      <w:r>
        <w:t>本轮ffprobe：{"programs": [], "stream_groups": [], "streams": [{"codec_name": "h264", "codec_type": "video", "width": 1920, "height": 1080, "avg_frame_rate": "30/1"}, {"codec_name": "aac", "codec_type": "audio", "avg_frame_rate": "0/0"}], "format": {"duration": "600.000000"}}</w:t>
      </w:r>
    </w:p>
    <w:p>
      <w:pPr>
        <w:jc w:val="both"/>
      </w:pPr>
      <w:r>
        <w:t>读取原声音质量报告：{"allPassed": true, "simMin": 0.7431703209877014, "cerMax": 0.029411764705882353, "voice": "用户本人克隆声音 / lecture"}</w:t>
      </w:r>
    </w:p>
    <w:p>
      <w:pPr>
        <w:jc w:val="both"/>
      </w:pPr>
      <w:r>
        <w:t>读取原视频质量报告：{"duration": 600.0, "fullDecode": true, "subtitlesVerified": true}</w:t>
      </w:r>
    </w:p>
    <w:p>
      <w:pPr>
        <w:jc w:val="both"/>
      </w:pPr>
      <w:r>
        <w:t>核对段 goals，82—108秒：知识目标是理解知识发现流程与聚类、分类、关联、回归和离群检测。能力目标是完成数据准备、模型比较、评价与解释。价值目标是关注数据安全、科学严谨与算法公平，把数据向善落实为问题定义和结果使用的具体要求。</w:t>
      </w:r>
    </w:p>
    <w:p>
      <w:pPr>
        <w:jc w:val="both"/>
      </w:pPr>
      <w:r>
        <w:t>核对段 lesson，225—245秒：实施选用AI招聘算法中的公平性问题，对应分类分析中的近邻算法。原教学设计为十二分钟：两分钟导入，五分钟技术讲解，四分钟思政融入，一分钟互动。课堂围绕一个问题展开：模型表现好，是否就足以支持招聘决策？</w:t>
      </w:r>
    </w:p>
    <w:p>
      <w:pPr>
        <w:jc w:val="both"/>
      </w:pPr>
      <w:r>
        <w:t>核对段 rubric，490—514秒：作品评价计划关注技术适配、证据完整、责任判断与表达清晰。既检查算法和指标是否用对，也检查数据划分、误差分析与限制说明。好的报告应让读者理解结论成立的条件，知道哪些问题仍需核查，而不只看到一个漂亮数字。</w:t>
      </w:r>
    </w:p>
    <w:p>
      <w:pPr>
        <w:pStyle w:val="Heading2"/>
      </w:pPr>
      <w:r>
        <w:t>AI工程概览</w:t>
      </w:r>
    </w:p>
    <w:p>
      <w:pPr>
        <w:jc w:val="both"/>
      </w:pPr>
      <w:r>
        <w:t>计划：C:\Users\谢鑫\Documents\Codex\2026-10-10\files-pasted-by-the-user-3\outputs\course_series_10\assets\ai\plan600.json</w:t>
      </w:r>
    </w:p>
    <w:p>
      <w:pPr>
        <w:jc w:val="both"/>
      </w:pPr>
      <w:r>
        <w:t>场景数：27；0—600秒连续性：True。</w:t>
      </w:r>
    </w:p>
    <w:p>
      <w:pPr>
        <w:jc w:val="both"/>
      </w:pPr>
      <w:r>
        <w:t>成片：C:\Users\谢鑫\Documents\Codex\2026-10-10\files-pasted-by-the-user-3\outputs\course_series_10\final\AI工程概览_10分钟说课_本人配音.mp4；核对时存在：True。</w:t>
      </w:r>
    </w:p>
    <w:p>
      <w:pPr>
        <w:jc w:val="both"/>
      </w:pPr>
      <w:r>
        <w:t>关联project的courses.json当前未含该课程键；已从独立assets计划读取目标、案例和评价。不能声称统一项目已含全部十门。</w:t>
      </w:r>
    </w:p>
    <w:p>
      <w:pPr>
        <w:jc w:val="both"/>
      </w:pPr>
      <w:r>
        <w:t>本轮ffprobe：{"programs": [], "stream_groups": [], "streams": [{"codec_name": "h264", "codec_type": "video", "width": 1920, "height": 1080, "avg_frame_rate": "30/1"}, {"codec_name": "aac", "codec_type": "audio", "avg_frame_rate": "0/0"}], "format": {"duration": "600.000000"}}</w:t>
      </w:r>
    </w:p>
    <w:p>
      <w:pPr>
        <w:jc w:val="both"/>
      </w:pPr>
      <w:r>
        <w:t>读取原声音质量报告：{"allPassed": true, "simMin": 0.7263849973678589, "cerMax": 0.02702702702702703, "voice": "用户本人克隆声音 / lecture"}</w:t>
      </w:r>
    </w:p>
    <w:p>
      <w:pPr>
        <w:jc w:val="both"/>
      </w:pPr>
      <w:r>
        <w:t>读取原视频质量报告：{"duration": 600.0, "fullDecode": true, "subtitlesVerified": true}</w:t>
      </w:r>
    </w:p>
    <w:p>
      <w:pPr>
        <w:jc w:val="both"/>
      </w:pPr>
      <w:r>
        <w:t>核对段 goals，82—108秒：教学目标有三个层面。知识目标，是理解基础模型、评估、提示、检索、微调和优化的基本逻辑。能力目标，是构建应用、设计测试、追溯来源并改进方案。价值目标，是在数据使用、安全防护与技术服务中，形成科学精神、职业伦理和社会责任意识。</w:t>
      </w:r>
    </w:p>
    <w:p>
      <w:pPr>
        <w:jc w:val="both"/>
      </w:pPr>
      <w:r>
        <w:t>核对段 lesson，225—245秒：以AI幻觉与责任边界说明课堂实施。案例串联采样机制、知识检索与人工核查。十五分钟片段分为四步：三分钟导入、七分钟技术讲解、四分钟讨论、一分钟小结。课后通过问答系统构建与对比验证，继续延伸实践。</w:t>
      </w:r>
    </w:p>
    <w:p>
      <w:pPr>
        <w:jc w:val="both"/>
      </w:pPr>
      <w:r>
        <w:t>核对段 rubric，490—514秒：标准强调可观察性。可靠性，看问题与证据是否一致；工程性，看代码、测试和记录是否完整；责任性，看授权、拒答与复核是否有依据；表达性，看取舍是否说清楚。一次生成正确，不能代表全部成绩。模拟实验的得分，也不能代表真实的学习成效。</w:t>
      </w:r>
    </w:p>
    <w:p>
      <w:pPr>
        <w:pStyle w:val="Heading1"/>
      </w:pPr>
      <w:r>
        <w:t>AI专业定位必须处理的差异</w:t>
      </w:r>
    </w:p>
    <w:p>
      <w:pPr>
        <w:jc w:val="both"/>
      </w:pPr>
      <w:r>
        <w:t>AI影片18—40秒identity段明确说“面向区块链工程专业”。本包由于原五份教师案例字段相互冲突、正式培养方案和补充专业内容未提供，采用“候选映射、待负责人确认”。保留原影片时应明确其原稿来源与映射未确认，不能把该句作为覆盖已达成证据；正式采用前优先修订该段本人配音、字幕和画面，或在得到正式专业依据后重新核对。仅添加小字不足以使相反的声音陈述一致。</w:t>
      </w:r>
    </w:p>
    <w:p>
      <w:pPr>
        <w:jc w:val="both"/>
      </w:pPr>
      <w:r>
        <w:t>技术内容包括幻觉、检索、拒答和人工核查与本包目标一致，可复用其余相应部分。链上摘要追溯不证明原文真伪；智能合约审计仍需要独立的代码、测试和负责人确认。</w:t>
      </w:r>
    </w:p>
    <w:p>
      <w:pPr>
        <w:pStyle w:val="Heading1"/>
      </w:pPr>
      <w:r>
        <w:t>本包新增内容怎样随片交付</w:t>
      </w:r>
    </w:p>
    <w:p>
      <w:pPr>
        <w:jc w:val="both"/>
      </w:pPr>
      <w:r>
        <w:t>影片已讲述的定性评价与本包新增一百分量规原则一致，但没有说明本包确切权重；以随片完整教学设计说明权重为新送审设计。六十四学时为本包建议安排，未获得正式大纲确认前不修改影片为“已执行课时”。本包四例与原稿完整案例库属于不同资源层级，不能把影片展示的原案例总数计为本包新增24例。</w:t>
      </w:r>
    </w:p>
    <w:p>
      <w:pPr>
        <w:jc w:val="both"/>
      </w:pPr>
      <w:r>
        <w:t>复用已通过本人声音核验的成片可以避免重复配音与渲染。新十二场景稿只在确需统一本包新设计、原片不适用或定位必须修改时启用，声音须沿用用户要求的Spark本人克隆声音。</w:t>
      </w:r>
    </w:p>
    <w:sectPr w:rsidR="00FC693F" w:rsidRPr="0006063C" w:rsidSect="00034616">
      <w:footerReference w:type="default" r:id="rId9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20"/>
      <w:ind w:firstLine="482"/>
    </w:pPr>
    <w:rPr>
      <w:rFonts w:ascii="Calibri" w:hAnsi="Calibri" w:eastAsia="SimSun" w:cs="Calibri"/>
      <w:b w:val="0"/>
      <w:color w:val="202B3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324" w:lineRule="auto"/>
      <w:outlineLvl w:val="0"/>
    </w:pPr>
    <w:rPr>
      <w:rFonts w:ascii="Calibri" w:hAnsi="Calibri" w:eastAsia="SimSun" w:cs="Calibri"/>
      <w:color w:val="202B3A"/>
      <w:sz w:val="36"/>
      <w:szCs w:val="28"/>
      <w14:textOutline w14:w="1905" w14:cap="flat" w14:cmpd="sng" w14:algn="ctr">
        <w14:solidFill>
          <w14:srgbClr w14:val="202B3A"/>
        </w14:solidFill>
        <w14:prstDash w14:val="solid"/>
        <w14:round/>
      </w14:textOutline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 w:line="324" w:lineRule="auto"/>
      <w:outlineLvl w:val="1"/>
    </w:pPr>
    <w:rPr>
      <w:rFonts w:ascii="Calibri" w:hAnsi="Calibri" w:eastAsia="SimSun" w:cs="Calibri"/>
      <w:color w:val="202B3A"/>
      <w:sz w:val="28"/>
      <w:szCs w:val="26"/>
      <w14:textOutline w14:w="1905" w14:cap="flat" w14:cmpd="sng" w14:algn="ctr">
        <w14:solidFill>
          <w14:srgbClr w14:val="202B3A"/>
        </w14:solidFill>
        <w14:prstDash w14:val="solid"/>
        <w14:round/>
      </w14:textOutline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60" w:after="120" w:line="324" w:lineRule="auto"/>
      <w:outlineLvl w:val="2"/>
    </w:pPr>
    <w:rPr>
      <w:rFonts w:ascii="Calibri" w:hAnsi="Calibri" w:eastAsia="SimSun" w:cs="Calibri"/>
      <w:color w:val="202B3A"/>
      <w:sz w:val="24"/>
      <w14:textOutline w14:w="1905" w14:cap="flat" w14:cmpd="sng" w14:algn="ctr">
        <w14:solidFill>
          <w14:srgbClr w14:val="202B3A"/>
        </w14:solidFill>
        <w14:prstDash w14:val="solid"/>
        <w14:round/>
      </w14:textOutline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324" w:lineRule="auto" w:before="360"/>
      <w:contextualSpacing/>
    </w:pPr>
    <w:rPr>
      <w:rFonts w:ascii="Calibri" w:hAnsi="Calibri" w:eastAsia="SimSun" w:cs="Calibri"/>
      <w:color w:val="202B3A"/>
      <w:spacing w:val="5"/>
      <w:kern w:val="28"/>
      <w:sz w:val="44"/>
      <w:szCs w:val="52"/>
      <w14:textOutline w14:w="1905" w14:cap="flat" w14:cmpd="sng" w14:algn="ctr">
        <w14:solidFill>
          <w14:srgbClr w14:val="202B3A"/>
        </w14:solidFill>
        <w14:prstDash w14:val="solid"/>
        <w14:round/>
      </w14:textOutline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24" w:lineRule="auto" w:after="120"/>
      <w:contextualSpacing/>
    </w:pPr>
    <w:rPr>
      <w:rFonts w:ascii="Calibri" w:hAnsi="Calibri" w:eastAsia="SimSun" w:cs="Calibri"/>
      <w:b w:val="0"/>
      <w:color w:val="202B3A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24" w:lineRule="auto" w:after="120"/>
      <w:contextualSpacing/>
    </w:pPr>
    <w:rPr>
      <w:rFonts w:ascii="Calibri" w:hAnsi="Calibri" w:eastAsia="SimSun" w:cs="Calibri"/>
      <w:b w:val="0"/>
      <w:color w:val="202B3A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