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离散数学完整教学设计（送审稿）</w:t>
      </w:r>
    </w:p>
    <w:p>
      <w:pPr>
        <w:jc w:val="both"/>
      </w:pPr>
      <w:r>
        <w:t>状态：建设资源已整理，教学实施、正式课程认定和三级签署尚待真实完成。</w:t>
      </w:r>
    </w:p>
    <w:p>
      <w:pPr>
        <w:pStyle w:val="Heading1"/>
      </w:pPr>
      <w:r>
        <w:t>一、课程定位与建设依据</w:t>
      </w:r>
    </w:p>
    <w:p>
      <w:pPr>
        <w:jc w:val="both"/>
      </w:pPr>
      <w:r>
        <w:t>本课程是软件工程学生由直觉编程走向可论证设计的数学基础。建设主线为“数学思维赋能创新，逻辑严谨保障质量”，把国家信息安全、公共服务和技术责任落在定义、证明、反例及实现的一致性上。课程既训练数论、逻辑、集合、关系和图论，也要求学生说明一个模型能回答什么、不能回答什么。思政融入不增加独立说教章节，而是在加密、图模型、电路和规则验证的任务中形成有证据的判断。本稿按建议六十四学时组织，并不替代现行培养方案；课时、学分与开课学期由专业负责人对照正式教学大纲确认。</w:t>
      </w:r>
    </w:p>
    <w:p>
      <w:pPr>
        <w:pStyle w:val="Heading1"/>
      </w:pPr>
      <w:r>
        <w:t>二、学习者分析与先修诊断</w:t>
      </w:r>
    </w:p>
    <w:p>
      <w:pPr>
        <w:jc w:val="both"/>
      </w:pPr>
      <w:r>
        <w:t>学习者应掌握高中数学、基本集合语言及初步 Python 程序设计。课前发放八题诊断：模运算两题、条件命题两题、集合关系两题、循环与函数两题，另要求解释“通过若干测试是否就是证明”。以答题过程识别概念缺口，不按基础薄弱给学生贴标签。未能区别充分条件和必要条件的学生先做真值表；不会编程的学生使用纸笔和伪代码，完成数学推导后再进入交互页面。较熟练的学生负责寻找边界反例，不能代替组员作答。分组后设置推导、实现、审查和记录四种轮换角色，保留个人退出题。</w:t>
      </w:r>
    </w:p>
    <w:p>
      <w:pPr>
        <w:jc w:val="both"/>
      </w:pPr>
      <w:r>
        <w:t>教学支持分为概念卡、可运行小样例和审查清单三层，学生可以选择起点，但均须完成共同的证据要求。教师在课堂中提供书面问题和口头解释两种参与方式，不以发言数量替代学习质量。遇到网络、平台或设备不可用时，使用本地素材、纸笔模型与预存结果继续核心活动，并注明哪些步骤尚待真实运行。评价照顾工具条件差异，保持概念、推理和责任判断的相同要求。</w:t>
      </w:r>
    </w:p>
    <w:p>
      <w:pPr>
        <w:pStyle w:val="Heading1"/>
      </w:pPr>
      <w:r>
        <w:t>三、知识、能力与价值目标</w:t>
      </w:r>
    </w:p>
    <w:p>
      <w:pPr>
        <w:jc w:val="both"/>
      </w:pPr>
      <w:r>
        <w:t>知识目标：能准确使用整除、同余、逻辑等价、关系闭包和图遍历的定义；对给定命题写出推理依据，说明适用前提，并用反例否定过强结论。</w:t>
      </w:r>
    </w:p>
    <w:p>
      <w:pPr>
        <w:jc w:val="both"/>
      </w:pPr>
      <w:r>
        <w:t>能力目标：能把一个小规模公共服务问题建成集合、关系或图模型，手算样例并用 Python 核验，提交边界测试和可复现结果；每个模型至少解释一个失败情形。</w:t>
      </w:r>
    </w:p>
    <w:p>
      <w:pPr>
        <w:jc w:val="both"/>
      </w:pPr>
      <w:r>
        <w:t>价值目标：能在加密和公共服务任务中主动注明玩具参数、信息授权与模型限制，不把实验演示宣传成真实安全保障；在同伴审查时用证据提出和接受修订。</w:t>
      </w:r>
    </w:p>
    <w:p>
      <w:pPr>
        <w:jc w:val="both"/>
      </w:pPr>
      <w:r>
        <w:t>评价对应：知识目标由诊断、退出题和概念解释核验；能力目标由任务过程、原始结果和个人答辩核验；价值目标以学生在数据、授权、来源、失败与风险处置中的具体选择核验。教师不得只以态度表述或页面浏览作为价值目标达成证据。</w:t>
      </w:r>
    </w:p>
    <w:p>
      <w:pPr>
        <w:pStyle w:val="Heading1"/>
      </w:pPr>
      <w:r>
        <w:t>四、全课程模块与学习产出</w:t>
      </w:r>
    </w:p>
    <w:p>
      <w:pPr>
        <w:jc w:val="both"/>
      </w:pPr>
      <w:r>
        <w:t>1. 数论与计数，建议十二学时。整除、同余、计数及 RSA 玩具演示；交付逆元推导、合法输入集合和解密核验表。</w:t>
      </w:r>
    </w:p>
    <w:p>
      <w:pPr>
        <w:jc w:val="both"/>
      </w:pPr>
      <w:r>
        <w:t>2. 命题与谓词逻辑，建议十二学时。真值表、等价变换、量词范围与推理规则；交付形式化规则、反例及规则解释。</w:t>
      </w:r>
    </w:p>
    <w:p>
      <w:pPr>
        <w:jc w:val="both"/>
      </w:pPr>
      <w:r>
        <w:t>3. 集合、关系与函数，建议十二学时。集合运算、关系性质、闭包和函数映射；交付数据字典、关系矩阵与重复记录检查。</w:t>
      </w:r>
    </w:p>
    <w:p>
      <w:pPr>
        <w:jc w:val="both"/>
      </w:pPr>
      <w:r>
        <w:t>4. 图与树，建议十二学时。连通性、遍历、最短路径与生成树；交付队列轨迹、复杂度说明及路径适用边界。</w:t>
      </w:r>
    </w:p>
    <w:p>
      <w:pPr>
        <w:jc w:val="both"/>
      </w:pPr>
      <w:r>
        <w:t>5. 布尔代数与代数系统，建议八学时。布尔化简、结构性质与同构的直观认识；交付化简前后等价检验和符号说明。</w:t>
      </w:r>
    </w:p>
    <w:p>
      <w:pPr>
        <w:jc w:val="both"/>
      </w:pPr>
      <w:r>
        <w:t>6. 综合项目与答辩，建议八学时。完成一个规则或图模型工具；交付证明、可运行代码、责任声明及个人答辩。</w:t>
      </w:r>
    </w:p>
    <w:p>
      <w:pPr>
        <w:jc w:val="both"/>
      </w:pPr>
      <w:r>
        <w:t>模块按概念、实现、验证与责任判断逐步递进，前一模块的错误修订成为下一模块的输入。每次活动保留一项个人解释和一项小组交付，阶段性任务统一使用当前版本的量规。建议学时总数为六十四学时，实际教学安排与学校批准的大纲衔接后执行。</w:t>
      </w:r>
    </w:p>
    <w:p>
      <w:pPr>
        <w:pStyle w:val="Heading1"/>
      </w:pPr>
      <w:r>
        <w:t>五、典型一课：图论与公共服务中的联系追踪（九十分钟）</w:t>
      </w:r>
    </w:p>
    <w:p>
      <w:pPr>
        <w:jc w:val="both"/>
      </w:pPr>
      <w:r>
        <w:t>0—8分钟：展示教师生成的十二节点联系图，学生区分“有一条路径”和“实际发生某种结果”；提交初始判断。</w:t>
      </w:r>
    </w:p>
    <w:p>
      <w:pPr>
        <w:jc w:val="both"/>
      </w:pPr>
      <w:r>
        <w:t>8—20分钟：讲解无权图、广度优先搜索和最短边数距离，手工运行队列，教师核对已访问集合。</w:t>
      </w:r>
    </w:p>
    <w:p>
      <w:pPr>
        <w:jc w:val="both"/>
      </w:pPr>
      <w:r>
        <w:t>20—38分钟：四人组执行搜索，加入孤立节点、重复边和断开节点，画出队列变化和层次图。</w:t>
      </w:r>
    </w:p>
    <w:p>
      <w:pPr>
        <w:jc w:val="both"/>
      </w:pPr>
      <w:r>
        <w:t>38—55分钟：将纸笔算法映射到 Python；交换三类测试，核对终止条件及时间复杂度的表达。</w:t>
      </w:r>
    </w:p>
    <w:p>
      <w:pPr>
        <w:jc w:val="both"/>
      </w:pPr>
      <w:r>
        <w:t>55—73分钟：设定只发布节点编号的公共服务情境，讨论最少字段、访问权限和“联系不能证明因果”。</w:t>
      </w:r>
    </w:p>
    <w:p>
      <w:pPr>
        <w:jc w:val="both"/>
      </w:pPr>
      <w:r>
        <w:t>73—85分钟：同伴按量规核对代码与结论；修订一条未经支持的推断，形成版本差异记录。</w:t>
      </w:r>
    </w:p>
    <w:p>
      <w:pPr>
        <w:jc w:val="both"/>
      </w:pPr>
      <w:r>
        <w:t>85—90分钟：个人退出题：说明一次搜索为什么保证最少边数距离，以及何种信息不足以作出结论。</w:t>
      </w:r>
    </w:p>
    <w:p>
      <w:pPr>
        <w:jc w:val="both"/>
      </w:pPr>
      <w:r>
        <w:t>教师只提供合成图及可重复的建图规则，不收集真实健康信息。组员先分别预测结果，再合并队列轨迹，避免直接复制交互页的输出。遇到结果不一致，按“定义、输入、执行轨迹、结论”四步定位。教师用反例询问学生而非直接给出价值判断，使模型边界成为技术解释的一部分。基础组完成遍历和边界测试，进阶组比较带权图情境，说明为什么不能沿用无权最短路结论。</w:t>
      </w:r>
    </w:p>
    <w:p>
      <w:pPr>
        <w:pStyle w:val="Heading1"/>
      </w:pPr>
      <w:r>
        <w:t>六、资源选择、作业与学习支持</w:t>
      </w:r>
    </w:p>
    <w:p>
      <w:pPr>
        <w:jc w:val="both"/>
      </w:pPr>
      <w:r>
        <w:t>资源依据为课程思政案例设计原稿、既有数字课程和本次改编的四个案例。教师按本课目标选择最少必要的资源，先核对技术正确性、来源许可和学习负荷，再安排课堂使用。原稿中列举的课件、视频或效果数字只有在文件和证据实际存在时才列入交付，不将计划描述作为完成项。</w:t>
      </w:r>
    </w:p>
    <w:p>
      <w:pPr>
        <w:jc w:val="both"/>
      </w:pPr>
      <w:r>
        <w:t>课前完成逻辑与编程诊断；课后提交去标识的合成图、算法、运行环境和二百字模型说明。综合项目可选“规则冲突检查器”或“公共设施联通分析”，必须给出数学依据、自动测试和一页责任边界说明。个人随机解释一项反例，以核验小组作品中的真实贡献。作业允许使用生成式工具，但须保留使用说明和由本人核验的推导；生成的证明不能直接作为结论提交。</w:t>
      </w:r>
    </w:p>
    <w:p>
      <w:pPr>
        <w:pStyle w:val="Heading1"/>
      </w:pPr>
      <w:r>
        <w:t>七、评价量规（总分一百分）</w:t>
      </w:r>
    </w:p>
    <w:p>
      <w:pPr>
        <w:jc w:val="both"/>
      </w:pPr>
      <w:r>
        <w:t>数学概念与推导，25分：前提、符号与推理链正确；遗漏适用条件按影响扣分。</w:t>
      </w:r>
    </w:p>
    <w:p>
      <w:pPr>
        <w:jc w:val="both"/>
      </w:pPr>
      <w:r>
        <w:t>模型与算法实现，25分：输入定义清楚，纸笔与程序一致，能处理孤立节点等边界。</w:t>
      </w:r>
    </w:p>
    <w:p>
      <w:pPr>
        <w:jc w:val="both"/>
      </w:pPr>
      <w:r>
        <w:t>验证与复现，20分：有测试数据、预期结果和运行记录，反例能够定位错误。</w:t>
      </w:r>
    </w:p>
    <w:p>
      <w:pPr>
        <w:jc w:val="both"/>
      </w:pPr>
      <w:r>
        <w:t>责任判断，20分：说明授权、最少信息与推断边界，并落实到输出设计。</w:t>
      </w:r>
    </w:p>
    <w:p>
      <w:pPr>
        <w:jc w:val="both"/>
      </w:pPr>
      <w:r>
        <w:t>表达与个人贡献，10分：解释明晰，版本记录完整，个人答辩能独立说明关键步骤。</w:t>
      </w:r>
    </w:p>
    <w:p>
      <w:pPr>
        <w:jc w:val="both"/>
      </w:pPr>
      <w:r>
        <w:t>评分采用分析量规，每个维度分别记录可核对的证据。达到该维度要求且边界清楚得该项满分；有局部遗漏但不影响主要结论得该项约七成；仅有结果、缺少过程或存在主要错误得约四成；无可核验成果记零分。量规在任务前公布，评分后开放解释和复核。小组成果不能代替个人能力，个人退出题与答辩用于核验贡献；抄袭、越界和真实性问题按学校实际规定处理，不由本稿擅设处分。</w:t>
      </w:r>
    </w:p>
    <w:p>
      <w:pPr>
        <w:pStyle w:val="Heading1"/>
      </w:pPr>
      <w:r>
        <w:t>八、反馈、改进与审核记录</w:t>
      </w:r>
    </w:p>
    <w:p>
      <w:pPr>
        <w:jc w:val="both"/>
      </w:pPr>
      <w:r>
        <w:t>重点追踪把有限枚举当一般证明、把图上联系当因果以及混淆命题逆否关系三类错误。首次项目后统计实际退出题和匿名意见，按错误类型调整例题，而不提前填写提升比例。对出现隐私越界的作品先停止共享并要求修订；技术分与责任分分别反馈。期末保存题目版本、匿名作品、量规和教师反思，使下一轮课程能核对同一学习目标的变化。</w:t>
      </w:r>
    </w:p>
    <w:p>
      <w:pPr>
        <w:jc w:val="both"/>
      </w:pPr>
      <w:r>
        <w:t>教学记录按课程、班级、任务版本、日期及匿名作品编号归档。课堂使用次数、真实参与教师及访问统计单独记录，建设材料不冒充实施证据。教师自检为前置步骤，正式三级流程依申报书为“专业初审（内容准确性）→思政审核（价值导向）→学院评审委员会审定”。审核意见、修订记录和发布版本须能关联，同时核验来源许可与公开范围；审核尚未完成的文件保留“送审稿”标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