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嵌入式系统完整教学设计（送审稿）</w:t>
      </w:r>
    </w:p>
    <w:p>
      <w:pPr>
        <w:jc w:val="both"/>
      </w:pPr>
      <w:r>
        <w:t>状态：建设资源已整理，教学实施、正式课程认定和三级签署尚待真实完成。</w:t>
      </w:r>
    </w:p>
    <w:p>
      <w:pPr>
        <w:pStyle w:val="Heading1"/>
      </w:pPr>
      <w:r>
        <w:t>一、课程定位与建设依据</w:t>
      </w:r>
    </w:p>
    <w:p>
      <w:pPr>
        <w:jc w:val="both"/>
      </w:pPr>
      <w:r>
        <w:t>本课程面向物联网工程，将“万物互联·智慧社会”落实为可测量的实时性、资源约束、失效安全与开源责任。课程围绕感知、处理、通信、执行的闭环，训练学生从硬件接口到任务调度和系统测试的工程能力。思政融入选用工业物联网、智慧农业、开源移植与实时系统的任务，要求学生说明技术如何服务公共需求，以及故障时谁会受到影响。建议以六十四学时组织；实验板卡、软件版本和课时须与正式大纲及实验条件确认。原稿中的芯片性能和工程成效数字不直接复制为已核实事实。</w:t>
      </w:r>
    </w:p>
    <w:p>
      <w:pPr>
        <w:pStyle w:val="Heading1"/>
      </w:pPr>
      <w:r>
        <w:t>二、学习者分析与先修诊断</w:t>
      </w:r>
    </w:p>
    <w:p>
      <w:pPr>
        <w:jc w:val="both"/>
      </w:pPr>
      <w:r>
        <w:t>先修为 C 语言、数字逻辑和计算机组成基础。课前诊断检查位运算、指针与寄存器概念、中断与轮询区别、任务周期和共享状态，另询问“传感器读数缺失时执行器该怎样动作”。不能解释位操作的学生先用模拟寄存器；缺少硬件经验者先在仿真环境观察时序。分组设置接口、调度、安全审查及测试记录四岗位轮换。教师确保每人独立画出一次输入到输出的路径，学生不得以设备型号或现成项目运行代替原理说明。实际连接硬件前核对电压、接口和负载范围。</w:t>
      </w:r>
    </w:p>
    <w:p>
      <w:pPr>
        <w:jc w:val="both"/>
      </w:pPr>
      <w:r>
        <w:t>教学支持分为概念卡、可运行小样例和审查清单三层，学生可以选择起点，但均须完成共同的证据要求。教师在课堂中提供书面问题和口头解释两种参与方式，不以发言数量替代学习质量。遇到网络、平台或设备不可用时，使用本地素材、纸笔模型与预存结果继续核心活动，并注明哪些步骤尚待真实运行。评价照顾工具条件差异，保持概念、推理和责任判断的相同要求。</w:t>
      </w:r>
    </w:p>
    <w:p>
      <w:pPr>
        <w:pStyle w:val="Heading1"/>
      </w:pPr>
      <w:r>
        <w:t>三、知识、能力与价值目标</w:t>
      </w:r>
    </w:p>
    <w:p>
      <w:pPr>
        <w:jc w:val="both"/>
      </w:pPr>
      <w:r>
        <w:t>知识目标：能解释ARM体系、嵌入式Linux启动与驱动结构、接口、中断、任务调度及共享资源，区分平均速度与最坏响应，说明截止时间与故障检查的局限。</w:t>
      </w:r>
    </w:p>
    <w:p>
      <w:pPr>
        <w:jc w:val="both"/>
      </w:pPr>
      <w:r>
        <w:t>能力目标：能在仿真或低风险教学硬件上构建小型感知控制闭环，记录时序，注入传感器缺失和任务延迟，提交状态机、故障测试与改进。</w:t>
      </w:r>
    </w:p>
    <w:p>
      <w:pPr>
        <w:jc w:val="both"/>
      </w:pPr>
      <w:r>
        <w:t>价值目标：能将人身与环境风险、节能和维护成本写入设计约束，尊重开源许可证与贡献者，真实注明仿真结果和实际硬件验证的区别。</w:t>
      </w:r>
    </w:p>
    <w:p>
      <w:pPr>
        <w:jc w:val="both"/>
      </w:pPr>
      <w:r>
        <w:t>评价对应：知识目标由诊断、退出题和概念解释核验；能力目标由任务过程、原始结果和个人答辩核验；价值目标以学生在数据、授权、来源、失败与风险处置中的具体选择核验。教师不得只以态度表述或页面浏览作为价值目标达成证据。</w:t>
      </w:r>
    </w:p>
    <w:p>
      <w:pPr>
        <w:pStyle w:val="Heading1"/>
      </w:pPr>
      <w:r>
        <w:t>四、全课程模块与学习产出</w:t>
      </w:r>
    </w:p>
    <w:p>
      <w:pPr>
        <w:jc w:val="both"/>
      </w:pPr>
      <w:r>
        <w:t>1. 嵌入式系统与接口，建议十学时。ARM体系、接口、寄存器和资源约束；交付接口表、数据路径及安全接线检查。</w:t>
      </w:r>
    </w:p>
    <w:p>
      <w:pPr>
        <w:jc w:val="both"/>
      </w:pPr>
      <w:r>
        <w:t>2. Linux、中断与设备驱动，建议十二学时。启动与驱动结构、中断、设备树、缓冲和分层；交付时序图、接口说明与边界测试。</w:t>
      </w:r>
    </w:p>
    <w:p>
      <w:pPr>
        <w:jc w:val="both"/>
      </w:pPr>
      <w:r>
        <w:t>3. 实时系统与调度，建议十二学时。任务、周期、截止时间、互斥和优先级；交付调度轨迹与最坏响应讨论。</w:t>
      </w:r>
    </w:p>
    <w:p>
      <w:pPr>
        <w:jc w:val="both"/>
      </w:pPr>
      <w:r>
        <w:t>4. 感知控制与通信，建议十二学时。传感器校验、状态机、消息与超时；交付合成数据闭环和故障动作表。</w:t>
      </w:r>
    </w:p>
    <w:p>
      <w:pPr>
        <w:jc w:val="both"/>
      </w:pPr>
      <w:r>
        <w:t>5. 安全与开源移植，建议十学时。Linux平台移植、最少接口暴露、更新和许可证；交付来源清单与兼容性检查。</w:t>
      </w:r>
    </w:p>
    <w:p>
      <w:pPr>
        <w:jc w:val="both"/>
      </w:pPr>
      <w:r>
        <w:t>6. 综合项目，建议八学时。设计虚拟灌溉或监测系统；交付时序、故障证据、能耗解释及个人答辩。</w:t>
      </w:r>
    </w:p>
    <w:p>
      <w:pPr>
        <w:jc w:val="both"/>
      </w:pPr>
      <w:r>
        <w:t>模块按概念、实现、验证与责任判断逐步递进，前一模块的错误修订成为下一模块的输入。每次活动保留一项个人解释和一项小组交付，阶段性任务统一使用当前版本的量规。建议学时总数为六十四学时，实际教学安排与学校批准的大纲衔接后执行。</w:t>
      </w:r>
    </w:p>
    <w:p>
      <w:pPr>
        <w:pStyle w:val="Heading1"/>
      </w:pPr>
      <w:r>
        <w:t>五、典型一课：智慧农业模拟控制中的故障安全（九十分钟）</w:t>
      </w:r>
    </w:p>
    <w:p>
      <w:pPr>
        <w:jc w:val="both"/>
      </w:pPr>
      <w:r>
        <w:t>0—8分钟：展示合成土壤湿度数据，学生预测阈值附近反复开关和数据缺失时的风险。</w:t>
      </w:r>
    </w:p>
    <w:p>
      <w:pPr>
        <w:jc w:val="both"/>
      </w:pPr>
      <w:r>
        <w:t>8—22分钟：教师讲解状态机、滞回、采样周期和超时，区分正常控制与故障状态。</w:t>
      </w:r>
    </w:p>
    <w:p>
      <w:pPr>
        <w:jc w:val="both"/>
      </w:pPr>
      <w:r>
        <w:t>22—40分钟：小组实现模拟灌溉状态机，设定上下阈值、最短动作间隔和数据有效期。</w:t>
      </w:r>
    </w:p>
    <w:p>
      <w:pPr>
        <w:jc w:val="both"/>
      </w:pPr>
      <w:r>
        <w:t>40—58分钟：注入抖动、读数超范围、传感器缺失及任务延迟，记录状态变化和响应时间。</w:t>
      </w:r>
    </w:p>
    <w:p>
      <w:pPr>
        <w:jc w:val="both"/>
      </w:pPr>
      <w:r>
        <w:t>58—73分钟：讨论节水、误动作和维护成本，选择故障时的保守动作并写清适用条件。</w:t>
      </w:r>
    </w:p>
    <w:p>
      <w:pPr>
        <w:jc w:val="both"/>
      </w:pPr>
      <w:r>
        <w:t>73—85分钟：同伴对照时序和任务约束审查，修改一项没有证据的“可靠”结论。</w:t>
      </w:r>
    </w:p>
    <w:p>
      <w:pPr>
        <w:jc w:val="both"/>
      </w:pPr>
      <w:r>
        <w:t>85—90分钟：个人退出题：解释一次缺失输入如何沿状态机进入故障处理及恢复。</w:t>
      </w:r>
    </w:p>
    <w:p>
      <w:pPr>
        <w:jc w:val="both"/>
      </w:pPr>
      <w:r>
        <w:t>教师使用合成传感器序列和虚拟执行器，避免真实农业设备与高功率负载。学生先画状态转移再编程，测试者按故障清单注入而不是随机修改数据。每项“实时”“节能”主张须注明测量方式和环境；平均耗时不能替代最坏响应分析。进阶组比较轮询与中断路径，基础组完成缺失检测和恢复。开源示例须记录仓库版本、许可证和修改范围，未确认许可的代码不能公开发布。</w:t>
      </w:r>
    </w:p>
    <w:p>
      <w:pPr>
        <w:pStyle w:val="Heading1"/>
      </w:pPr>
      <w:r>
        <w:t>六、资源选择、作业与学习支持</w:t>
      </w:r>
    </w:p>
    <w:p>
      <w:pPr>
        <w:jc w:val="both"/>
      </w:pPr>
      <w:r>
        <w:t>资源依据为课程思政案例设计原稿、既有数字课程和本次改编的四个案例。教师按本课目标选择最少必要的资源，先核对技术正确性、来源许可和学习负荷，再安排课堂使用。原稿中列举的课件、视频或效果数字只有在文件和证据实际存在时才列入交付，不将计划描述作为完成项。</w:t>
      </w:r>
    </w:p>
    <w:p>
      <w:pPr>
        <w:jc w:val="both"/>
      </w:pPr>
      <w:r>
        <w:t>课前完成位操作与时序诊断；课后提交状态机、时序日志、四类故障测试和假设说明。综合项目选择虚拟智慧灌溉、环境监测或低风险灯光控制，要求写明执行器允许状态、输入有效期和维护步骤。学生另提交一页开源来源与改动清单，区分仿真验证、板卡验证和未验证功能。个人答辩给出传感器恢复或任务拥塞情境，要求现场说明状态变化。</w:t>
      </w:r>
    </w:p>
    <w:p>
      <w:pPr>
        <w:pStyle w:val="Heading1"/>
      </w:pPr>
      <w:r>
        <w:t>七、评价量规（总分一百分）</w:t>
      </w:r>
    </w:p>
    <w:p>
      <w:pPr>
        <w:jc w:val="both"/>
      </w:pPr>
      <w:r>
        <w:t>接口与实时概念，20分：接口、任务、截止时间和共享资源解释准确。</w:t>
      </w:r>
    </w:p>
    <w:p>
      <w:pPr>
        <w:jc w:val="both"/>
      </w:pPr>
      <w:r>
        <w:t>状态机与系统实现，25分：输入有效性、超时和故障动作明确，实现与图一致。</w:t>
      </w:r>
    </w:p>
    <w:p>
      <w:pPr>
        <w:jc w:val="both"/>
      </w:pPr>
      <w:r>
        <w:t>时序与故障验证，25分：原始日志可复核，覆盖四类故障并说明环境限制。</w:t>
      </w:r>
    </w:p>
    <w:p>
      <w:pPr>
        <w:jc w:val="both"/>
      </w:pPr>
      <w:r>
        <w:t>安全、节能与开源责任，20分：设计约束可检查，许可证与修改来源完整，无夸大性能。</w:t>
      </w:r>
    </w:p>
    <w:p>
      <w:pPr>
        <w:jc w:val="both"/>
      </w:pPr>
      <w:r>
        <w:t>表达与个人贡献，10分：角色记录和个人答辩能核对关键设计。</w:t>
      </w:r>
    </w:p>
    <w:p>
      <w:pPr>
        <w:jc w:val="both"/>
      </w:pPr>
      <w:r>
        <w:t>评分采用分析量规，每个维度分别记录可核对的证据。达到该维度要求且边界清楚得该项满分；有局部遗漏但不影响主要结论得该项约七成；仅有结果、缺少过程或存在主要错误得约四成；无可核验成果记零分。量规在任务前公布，评分后开放解释和复核。小组成果不能代替个人能力，个人退出题与答辩用于核验贡献；抄袭、越界和真实性问题按学校实际规定处理，不由本稿擅设处分。</w:t>
      </w:r>
    </w:p>
    <w:p>
      <w:pPr>
        <w:pStyle w:val="Heading1"/>
      </w:pPr>
      <w:r>
        <w:t>八、反馈、改进与审核记录</w:t>
      </w:r>
    </w:p>
    <w:p>
      <w:pPr>
        <w:jc w:val="both"/>
      </w:pPr>
      <w:r>
        <w:t>教师重点检查阈值抖动、失效输入仍控制执行器、把平均耗时称为实时保证，以及来源和许可不明的问题。每轮实验以真实日志识别状态转换错误，反馈必须对应具体输入与时间。发现安全约束缺失先回到仿真修订，再决定是否连接教学硬件。期末据实际故障覆盖与个人退出题修订例题，不预填节水率、可靠性或学生创新成果。正式公开前复核硬件安全、开源许可及涉及重大工程的事实。</w:t>
      </w:r>
    </w:p>
    <w:p>
      <w:pPr>
        <w:jc w:val="both"/>
      </w:pPr>
      <w:r>
        <w:t>教学记录按课程、班级、任务版本、日期及匿名作品编号归档。课堂使用次数、真实参与教师及访问统计单独记录，建设材料不冒充实施证据。教师自检为前置步骤，正式三级流程依申报书为“专业初审（内容准确性）→思政审核（价值导向）→学院评审委员会审定”。审核意见、修订记录和发布版本须能关联，同时核验来源许可与公开范围；审核尚未完成的文件保留“送审稿”标识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