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网络安全技术完整教学设计（送审稿）</w:t>
      </w:r>
    </w:p>
    <w:p>
      <w:pPr>
        <w:jc w:val="both"/>
      </w:pPr>
      <w:r>
        <w:t>状态：建设资源已整理，教学实施、正式课程认定和三级签署尚待真实完成。</w:t>
      </w:r>
    </w:p>
    <w:p>
      <w:pPr>
        <w:pStyle w:val="Heading1"/>
      </w:pPr>
      <w:r>
        <w:t>一、课程定位与建设依据</w:t>
      </w:r>
    </w:p>
    <w:p>
      <w:pPr>
        <w:jc w:val="both"/>
      </w:pPr>
      <w:r>
        <w:t>本课程面向网络工程，把“网络安全·国防使命”转化为风险识别、授权实验、纵深防御和负责任的事件处置。教学从资产与威胁出发，连接密码、访问控制、网络防护、日志和恢复，不以展示攻击技巧作为课程价值。学生须理解公共网络服务与个人信息之间的联系，能给出可核查的防护建议并尊重任务授权边界。课程采用建议六十四学时的模块结构；实际实验环境、开课安排和考核比例由课程负责人依据正式大纲确认。新稿不沿用原稿未经核实的事件归因、规模统计或法律条款编号。</w:t>
      </w:r>
    </w:p>
    <w:p>
      <w:pPr>
        <w:pStyle w:val="Heading1"/>
      </w:pPr>
      <w:r>
        <w:t>二、学习者分析与先修诊断</w:t>
      </w:r>
    </w:p>
    <w:p>
      <w:pPr>
        <w:jc w:val="both"/>
      </w:pPr>
      <w:r>
        <w:t>先修为计算机网络、操作系统和基本脚本能力。课前要求画出一次浏览器访问的主要路径，区分身份、权限和加密，读一份教师提供的脱敏日志，并识别题目中的授权范围。未能解释端口与服务区别的学生先完成本机网络模型练习；不能读日志者使用字段解释卡。实验前每人填写任务范围、设备、时间与停止条件，教师确认后才进入隔离环境。团队设资产负责人、防护配置者、验证者和记录者，轮换岗位，个人必须独立说明一个安全控制的作用及失效条件。</w:t>
      </w:r>
    </w:p>
    <w:p>
      <w:pPr>
        <w:jc w:val="both"/>
      </w:pPr>
      <w:r>
        <w:t>教学支持分为概念卡、可运行小样例和审查清单三层，学生可以选择起点，但均须完成共同的证据要求。教师在课堂中提供书面问题和口头解释两种参与方式，不以发言数量替代学习质量。遇到网络、平台或设备不可用时，使用本地素材、纸笔模型与预存结果继续核心活动，并注明哪些步骤尚待真实运行。评价照顾工具条件差异，保持概念、推理和责任判断的相同要求。</w:t>
      </w:r>
    </w:p>
    <w:p>
      <w:pPr>
        <w:pStyle w:val="Heading1"/>
      </w:pPr>
      <w:r>
        <w:t>三、知识、能力与价值目标</w:t>
      </w:r>
    </w:p>
    <w:p>
      <w:pPr>
        <w:jc w:val="both"/>
      </w:pPr>
      <w:r>
        <w:t>知识目标：能区分机密性、完整性、可用性及其冲突，解释密码、认证、授权、日志和备份分别保护哪些对象，指出单一控制的局限。</w:t>
      </w:r>
    </w:p>
    <w:p>
      <w:pPr>
        <w:jc w:val="both"/>
      </w:pPr>
      <w:r>
        <w:t>能力目标：能在明确授权的本机隔离环境完成资产清单、威胁模型、防护配置和验证，提交最少权限矩阵、脱敏日志及恢复检查。</w:t>
      </w:r>
    </w:p>
    <w:p>
      <w:pPr>
        <w:jc w:val="both"/>
      </w:pPr>
      <w:r>
        <w:t>价值目标：能把公共服务连续性和个人权益纳入风险优先级，主动停止超出授权的操作，真实报告未验证项和残余风险，不以攻击成果包装教学成效。</w:t>
      </w:r>
    </w:p>
    <w:p>
      <w:pPr>
        <w:jc w:val="both"/>
      </w:pPr>
      <w:r>
        <w:t>评价对应：知识目标由诊断、退出题和概念解释核验；能力目标由任务过程、原始结果和个人答辩核验；价值目标以学生在数据、授权、来源、失败与风险处置中的具体选择核验。教师不得只以态度表述或页面浏览作为价值目标达成证据。</w:t>
      </w:r>
    </w:p>
    <w:p>
      <w:pPr>
        <w:pStyle w:val="Heading1"/>
      </w:pPr>
      <w:r>
        <w:t>四、全课程模块与学习产出</w:t>
      </w:r>
    </w:p>
    <w:p>
      <w:pPr>
        <w:jc w:val="both"/>
      </w:pPr>
      <w:r>
        <w:t>1. 安全基础与风险，建议十学时。资产、威胁、影响与风险优先级；交付范围说明、资产清单和威胁模型。</w:t>
      </w:r>
    </w:p>
    <w:p>
      <w:pPr>
        <w:jc w:val="both"/>
      </w:pPr>
      <w:r>
        <w:t>2. 密码与身份，建议十二学时。加密、签名、认证和密钥管理；交付用途区分、协议示意及失效条件。</w:t>
      </w:r>
    </w:p>
    <w:p>
      <w:pPr>
        <w:jc w:val="both"/>
      </w:pPr>
      <w:r>
        <w:t>3. 访问控制与网络防护，建议十四学时。最少权限、隔离、防护策略与服务暴露；交付权限矩阵和验证记录。</w:t>
      </w:r>
    </w:p>
    <w:p>
      <w:pPr>
        <w:jc w:val="both"/>
      </w:pPr>
      <w:r>
        <w:t>4. 日志与事件分析，建议十学时。字段解释、证据时间线、脱敏和报告；交付证据链与不确定性说明。</w:t>
      </w:r>
    </w:p>
    <w:p>
      <w:pPr>
        <w:jc w:val="both"/>
      </w:pPr>
      <w:r>
        <w:t>5. 纵深防御与恢复，建议十学时。多层控制、备份、恢复及演练停止条件；交付恢复步骤和完整性检查。</w:t>
      </w:r>
    </w:p>
    <w:p>
      <w:pPr>
        <w:jc w:val="both"/>
      </w:pPr>
      <w:r>
        <w:t>6. 综合安全方案，建议八学时。为虚构公共服务系统设计防护；交付方案、残余风险和个人答辩。</w:t>
      </w:r>
    </w:p>
    <w:p>
      <w:pPr>
        <w:jc w:val="both"/>
      </w:pPr>
      <w:r>
        <w:t>模块按概念、实现、验证与责任判断逐步递进，前一模块的错误修订成为下一模块的输入。每次活动保留一项个人解释和一项小组交付，阶段性任务统一使用当前版本的量规。建议学时总数为六十四学时，实际教学安排与学校批准的大纲衔接后执行。</w:t>
      </w:r>
    </w:p>
    <w:p>
      <w:pPr>
        <w:pStyle w:val="Heading1"/>
      </w:pPr>
      <w:r>
        <w:t>五、典型一课：虚构公共服务系统的纵深防御评审（九十分钟）</w:t>
      </w:r>
    </w:p>
    <w:p>
      <w:pPr>
        <w:jc w:val="both"/>
      </w:pPr>
      <w:r>
        <w:t>0—10分钟：展示虚构校园预约服务架构，学生列出业务资产、用户权益和实验授权范围。</w:t>
      </w:r>
    </w:p>
    <w:p>
      <w:pPr>
        <w:jc w:val="both"/>
      </w:pPr>
      <w:r>
        <w:t>10—23分钟：教师讲解机密性、完整性、可用性，区分认证与授权，并画出信任边界。</w:t>
      </w:r>
    </w:p>
    <w:p>
      <w:pPr>
        <w:jc w:val="both"/>
      </w:pPr>
      <w:r>
        <w:t>23—40分钟：小组设计普通用户、维护者与管理员权限矩阵，提出服务隔离与最少权限配置。</w:t>
      </w:r>
    </w:p>
    <w:p>
      <w:pPr>
        <w:jc w:val="both"/>
      </w:pPr>
      <w:r>
        <w:t>40—57分钟：在隔离模型中核对允许和拒绝情境，记录控制结果与日志字段，不触及外部系统。</w:t>
      </w:r>
    </w:p>
    <w:p>
      <w:pPr>
        <w:jc w:val="both"/>
      </w:pPr>
      <w:r>
        <w:t>57—72分钟：加入备份恢复和管理员账户失效情境，检查单点控制不足及恢复顺序。</w:t>
      </w:r>
    </w:p>
    <w:p>
      <w:pPr>
        <w:jc w:val="both"/>
      </w:pPr>
      <w:r>
        <w:t>72—84分钟：交换方案，按证据和残余风险评审，删去无授权、无验证或无法复现的结论。</w:t>
      </w:r>
    </w:p>
    <w:p>
      <w:pPr>
        <w:jc w:val="both"/>
      </w:pPr>
      <w:r>
        <w:t>84—90分钟：个人退出题：选一控制，解释其作用、失效条件及下一步验证方法。</w:t>
      </w:r>
    </w:p>
    <w:p>
      <w:pPr>
        <w:jc w:val="both"/>
      </w:pPr>
      <w:r>
        <w:t>教师提供虚构架构、模拟权限表和合成日志，实验环境默认无外网目标。学生先确定服务目标再选择控制，避免把安装工具等同于完成防护。防护者与验证者使用同一任务范围，验证只能覆盖预设允许和拒绝情境。发现越界迹象即停止，保留事实记录并向教师报告。课堂采用角色协作讨论停机、补丁和连续服务的取舍，所有建议必须说明适用条件。</w:t>
      </w:r>
    </w:p>
    <w:p>
      <w:pPr>
        <w:pStyle w:val="Heading1"/>
      </w:pPr>
      <w:r>
        <w:t>六、资源选择、作业与学习支持</w:t>
      </w:r>
    </w:p>
    <w:p>
      <w:pPr>
        <w:jc w:val="both"/>
      </w:pPr>
      <w:r>
        <w:t>资源依据为课程思政案例设计原稿、既有数字课程和本次改编的四个案例。教师按本课目标选择最少必要的资源，先核对技术正确性、来源许可和学习负荷，再安排课堂使用。原稿中列举的课件、视频或效果数字只有在文件和证据实际存在时才列入交付，不将计划描述作为完成项。</w:t>
      </w:r>
    </w:p>
    <w:p>
      <w:pPr>
        <w:jc w:val="both"/>
      </w:pPr>
      <w:r>
        <w:t>课前完成网络与日志诊断；课后提交权限矩阵、验证步骤、脱敏日志和残余风险表。综合项目选择虚构实验室服务或校园预约系统，不使用真实管理员账户。每组完成一次按预设故障条件进行的恢复练习，并注明哪些控制只完成设计、哪些已在隔离环境验证。个人答辩随机给出新增角色或账户失效情境，要求说明权限和恢复方案应怎样调整。</w:t>
      </w:r>
    </w:p>
    <w:p>
      <w:pPr>
        <w:pStyle w:val="Heading1"/>
      </w:pPr>
      <w:r>
        <w:t>七、评价量规（总分一百分）</w:t>
      </w:r>
    </w:p>
    <w:p>
      <w:pPr>
        <w:jc w:val="both"/>
      </w:pPr>
      <w:r>
        <w:t>资产与威胁分析，20分：资产、业务影响、信任边界和优先级明确，风险判断有依据。</w:t>
      </w:r>
    </w:p>
    <w:p>
      <w:pPr>
        <w:jc w:val="both"/>
      </w:pPr>
      <w:r>
        <w:t>防护设计与配置，25分：权限与多层控制相配合，能解释控制的失效条件。</w:t>
      </w:r>
    </w:p>
    <w:p>
      <w:pPr>
        <w:jc w:val="both"/>
      </w:pPr>
      <w:r>
        <w:t>验证、日志与恢复，25分：验证范围清楚、证据可复核，恢复检查包含完整性。</w:t>
      </w:r>
    </w:p>
    <w:p>
      <w:pPr>
        <w:jc w:val="both"/>
      </w:pPr>
      <w:r>
        <w:t>授权与责任边界，20分：遵守隔离范围、日志脱敏，残余风险与未验证项如实报告。</w:t>
      </w:r>
    </w:p>
    <w:p>
      <w:pPr>
        <w:jc w:val="both"/>
      </w:pPr>
      <w:r>
        <w:t>协作和个人答辩，10分：角色履职有记录，个人独立解释控制与风险。</w:t>
      </w:r>
    </w:p>
    <w:p>
      <w:pPr>
        <w:jc w:val="both"/>
      </w:pPr>
      <w:r>
        <w:t>评分采用分析量规，每个维度分别记录可核对的证据。达到该维度要求且边界清楚得该项满分；有局部遗漏但不影响主要结论得该项约七成；仅有结果、缺少过程或存在主要错误得约四成；无可核验成果记零分。量规在任务前公布，评分后开放解释和复核。小组成果不能代替个人能力，个人退出题与答辩用于核验贡献；抄袭、越界和真实性问题按学校实际规定处理，不由本稿擅设处分。</w:t>
      </w:r>
    </w:p>
    <w:p>
      <w:pPr>
        <w:pStyle w:val="Heading1"/>
      </w:pPr>
      <w:r>
        <w:t>八、反馈、改进与审核记录</w:t>
      </w:r>
    </w:p>
    <w:p>
      <w:pPr>
        <w:jc w:val="both"/>
      </w:pPr>
      <w:r>
        <w:t>教师主要检查把加密当认证、把身份当权限、把备份存在当恢复成功，以及忽略授权的四类问题。每次实验形成实际证据缺口清单，下次任务先补验证再讨论效果。对责任边界错误先修订范围和数据处理方案；对技术错误给出可重复的失败情境。课程结束时据真实量规、退出题及匿名反馈写反思，不用访问次数替代能力提升，也不填造学生防护成功率。正式法律材料和安全事件事实由审核人员核验后再进入公开资源。</w:t>
      </w:r>
    </w:p>
    <w:p>
      <w:pPr>
        <w:jc w:val="both"/>
      </w:pPr>
      <w:r>
        <w:t>教学记录按课程、班级、任务版本、日期及匿名作品编号归档。课堂使用次数、真实参与教师及访问统计单独记录，建设材料不冒充实施证据。教师自检为前置步骤，正式三级流程依申报书为“专业初审（内容准确性）→思政审核（价值导向）→学院评审委员会审定”。审核意见、修订记录和发布版本须能关联，同时核验来源许可与公开范围；审核尚未完成的文件保留“送审稿”标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