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区块链工程专业思政简介</w:t>
      </w:r>
    </w:p>
    <w:p>
      <w:pPr>
        <w:jc w:val="both"/>
      </w:pPr>
      <w:r>
        <w:t>状态：送审稿。主题：链式信任·技术创新。</w:t>
      </w:r>
    </w:p>
    <w:p>
      <w:pPr>
        <w:jc w:val="both"/>
      </w:pPr>
      <w:r>
        <w:t>区块链工程以链式信任与技术创新为思政主题，聚焦国产技术、自主创新和金融安全，引导学生理解可信协作需要技术机制与责任规则共同支撑。专业简介依据申报书定位，围绕数据来源、身份核验、记录追溯和系统边界组织价值讨论，避免把技术名词直接等同于可信结论，同时防范过度宣传的风险。现有资源暂以工程概览课程中的人工智能幻觉、知识产权和评估案例作为相邻工程能力的参考，用于训练证据核查、责任说明与诚实表达。这一课程关联仍须专业负责人依据正式培养方案确认，不能视为区块链核心课程建设已完成。课堂可用教学模拟材料开展可信记录与结果复核的方案讨论，要求说明适用范围与风险。专业思政建设坚持技术报国与德才兼备，鼓励学生以严谨学习支撑自主创新，以规范设计守护使用者权益。</w:t>
      </w:r>
    </w:p>
    <w:p>
      <w:pPr>
        <w:jc w:val="both"/>
      </w:pPr>
      <w:r>
        <w:t>正文汉字数：300（仅计汉字，标点、字母和数字不计）。</w:t>
      </w:r>
    </w:p>
    <w:p>
      <w:pPr>
        <w:jc w:val="both"/>
      </w:pPr>
      <w:r>
        <w:t>关联课程：AI工程概览。课程归属须由专业负责人核对正式培养方案。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