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数据科学与大数据技术专业思政简介</w:t>
      </w:r>
    </w:p>
    <w:p>
      <w:pPr>
        <w:jc w:val="both"/>
      </w:pPr>
      <w:r>
        <w:t>状态：送审稿。主题：数据驱动·社会赋能。</w:t>
      </w:r>
    </w:p>
    <w:p>
      <w:pPr>
        <w:jc w:val="both"/>
      </w:pPr>
      <w:r>
        <w:t>数据科学与大数据技术以数据驱动与社会赋能为思政主题，把数据伦理、公平算法和数据安全融入采集、预处理、挖掘与深度学习。资源库围绕完整数据流程组织课程，使学生认识模型结论依赖数据来源、样本质量和评价方法。教学以模拟数据开展脱敏、缺失值处理和群体误差比较，要求记录处理依据，说明结果局限，避免把相关关系轻率解释为因果关系。医疗隐私、招聘公平和科研可复现案例用于训练负责任的分析能力，国产框架与古籍整理案例连接自主创新和文化传承。课堂不仅追求预测准确，还关注不同人群受到的影响与资源使用成本。专业思政建设引导学生坚持科学求实，尊重数据中的人，把技术报国落实为可解释、可复核、可改进的数据方案，以可靠分析支持社会服务与公共决策，并在团队协作中共同检查分析风险。</w:t>
      </w:r>
    </w:p>
    <w:p>
      <w:pPr>
        <w:jc w:val="both"/>
      </w:pPr>
      <w:r>
        <w:t>正文汉字数：300（仅计汉字，标点、字母和数字不计）。</w:t>
      </w:r>
    </w:p>
    <w:p>
      <w:pPr>
        <w:jc w:val="both"/>
      </w:pPr>
      <w:r>
        <w:t>关联课程：数据采集与预处理、数据挖掘、神经网络与深度学习。课程归属须由专业负责人核对正式培养方案。</w:t>
      </w:r>
    </w:p>
    <w:sectPr w:rsidR="00FC693F" w:rsidRPr="0006063C" w:rsidSect="00034616"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  <w:ind w:firstLine="482"/>
    </w:pPr>
    <w:rPr>
      <w:rFonts w:ascii="Calibri" w:hAnsi="Calibri" w:eastAsia="SimSun" w:cs="Calibri"/>
      <w:b w:val="0"/>
      <w:color w:val="202B3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 w:line="324" w:lineRule="auto"/>
      <w:outlineLvl w:val="0"/>
    </w:pPr>
    <w:rPr>
      <w:rFonts w:ascii="Calibri" w:hAnsi="Calibri" w:eastAsia="SimSun" w:cs="Calibri"/>
      <w:color w:val="202B3A"/>
      <w:sz w:val="36"/>
      <w:szCs w:val="28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 w:line="324" w:lineRule="auto"/>
      <w:outlineLvl w:val="1"/>
    </w:pPr>
    <w:rPr>
      <w:rFonts w:ascii="Calibri" w:hAnsi="Calibri" w:eastAsia="SimSun" w:cs="Calibri"/>
      <w:color w:val="202B3A"/>
      <w:sz w:val="28"/>
      <w:szCs w:val="26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60" w:after="120" w:line="324" w:lineRule="auto"/>
      <w:outlineLvl w:val="2"/>
    </w:pPr>
    <w:rPr>
      <w:rFonts w:ascii="Calibri" w:hAnsi="Calibri" w:eastAsia="SimSun" w:cs="Calibri"/>
      <w:color w:val="202B3A"/>
      <w:sz w:val="24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324" w:lineRule="auto" w:before="360"/>
      <w:contextualSpacing/>
    </w:pPr>
    <w:rPr>
      <w:rFonts w:ascii="Calibri" w:hAnsi="Calibri" w:eastAsia="SimSun" w:cs="Calibri"/>
      <w:color w:val="202B3A"/>
      <w:spacing w:val="5"/>
      <w:kern w:val="28"/>
      <w:sz w:val="44"/>
      <w:szCs w:val="52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24" w:lineRule="auto" w:after="120"/>
      <w:contextualSpacing/>
    </w:pPr>
    <w:rPr>
      <w:rFonts w:ascii="Calibri" w:hAnsi="Calibri" w:eastAsia="SimSun" w:cs="Calibri"/>
      <w:b w:val="0"/>
      <w:color w:val="202B3A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24" w:lineRule="auto" w:after="120"/>
      <w:contextualSpacing/>
    </w:pPr>
    <w:rPr>
      <w:rFonts w:ascii="Calibri" w:hAnsi="Calibri" w:eastAsia="SimSun" w:cs="Calibri"/>
      <w:b w:val="0"/>
      <w:color w:val="202B3A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