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物联网工程专业思政简介</w:t>
      </w:r>
    </w:p>
    <w:p>
      <w:pPr>
        <w:jc w:val="both"/>
      </w:pPr>
      <w:r>
        <w:t>状态：送审稿。主题：万物互联·智慧社会。</w:t>
      </w:r>
    </w:p>
    <w:p>
      <w:pPr>
        <w:jc w:val="both"/>
      </w:pPr>
      <w:r>
        <w:t>物联网工程以万物互联与智慧社会为思政主题，关注感知、计算、通信和控制如何服务社会治理与可持续发展。资源库连接计算机系统与嵌入式系统课程，通过智慧农业、工业设备和交通场景，引导学生把技术指标与使用者需要共同纳入设计。教学用模拟传感器数据开展采样、异常处理和实时任务分析，要求学生解释误差来源，检查失效风险，形成严谨求实的工程态度。国产芯片与开源系统案例用于讨论自主创新和协作贡献，设备安全与数据保护任务强化责任意识，并重视设备全周期维护。课堂既比较性能，也考虑能耗、维护成本和使用便利，鼓励学生为不同人群提供可理解的技术方案。专业思政建设把技术报国落实在可靠的感知与控制之中，让创新服务真实需求，在连接万物的同时尊重人的权益，承担工程实践的社会责任。</w:t>
      </w:r>
    </w:p>
    <w:p>
      <w:pPr>
        <w:jc w:val="both"/>
      </w:pPr>
      <w:r>
        <w:t>正文汉字数：300（仅计汉字，标点、字母和数字不计）。</w:t>
      </w:r>
    </w:p>
    <w:p>
      <w:pPr>
        <w:jc w:val="both"/>
      </w:pPr>
      <w:r>
        <w:t>关联课程：计算机系统、嵌入式系统。课程归属须由专业负责人核对正式培养方案。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