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网络工程专业思政简介</w:t>
      </w:r>
    </w:p>
    <w:p>
      <w:pPr>
        <w:jc w:val="both"/>
      </w:pPr>
      <w:r>
        <w:t>状态：送审稿。主题：网络安全·国防使命。</w:t>
      </w:r>
    </w:p>
    <w:p>
      <w:pPr>
        <w:jc w:val="both"/>
      </w:pPr>
      <w:r>
        <w:t>网络工程以网络安全与国防使命为思政主题，围绕网络空间主权、信息保护和安全责任组织教学。资源库连接网络安全技术与网络程序设计，把协议运行、身份认证、访问控制和纵深防御放入具体任务，引导学生理解网络连接背后的公共秩序。教学以授权的模拟环境为边界，训练风险识别、日志分析和防护方案表达，明确技术探索应尊重规则、服务安全。个人信息保护与邮件安全案例帮助学生辨析采集目的、使用范围和信任机制，避免只追求效率而忽视他人权益。国产密码与关键基础设施案例用于讨论自主创新、持续维护和团队协作，培养科学求实的技术态度，并建立可复核的安全操作记录。专业思政建设把技术报国落实为对系统可靠性与用户权益的守护，鼓励学生用证据说明风险，以规范行动承担网络工程师的社会责任。</w:t>
      </w:r>
    </w:p>
    <w:p>
      <w:pPr>
        <w:jc w:val="both"/>
      </w:pPr>
      <w:r>
        <w:t>正文汉字数：300（仅计汉字，标点、字母和数字不计）。</w:t>
      </w:r>
    </w:p>
    <w:p>
      <w:pPr>
        <w:jc w:val="both"/>
      </w:pPr>
      <w:r>
        <w:t>关联课程：网络安全技术、Python网络程序设计。课程归属须由专业负责人核对正式培养方案。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