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软件工程专业思政简介</w:t>
      </w:r>
    </w:p>
    <w:p>
      <w:pPr>
        <w:jc w:val="both"/>
      </w:pPr>
      <w:r>
        <w:t>状态：送审稿。主题：工程伦理·责任编码。</w:t>
      </w:r>
    </w:p>
    <w:p>
      <w:pPr>
        <w:jc w:val="both"/>
      </w:pPr>
      <w:r>
        <w:t>软件工程以工程伦理与责任编码为思政主题，把代码规范、隐私保护和软件质量融入程序设计与系统开发。学生从需求分析、逻辑建模、算法选择到测试维护，学习用可验证的证据说明技术决策，认识一行代码背后的用户权益与公共责任。资源库连接离散数学、程序设计、网络编程和算法分析，通过命题推理、边界测试、最小化采集等任务，训练严谨求实的科学精神。课堂以教学模拟数据开展项目实践，鼓励学生复核异常输入、记录修改依据、尊重开源许可，在团队协作中形成可追溯的工程习惯，并以规范文档支持后续维护。专业思政建设坚持技术报国与德才兼备，引导学生把自主创新落实为可靠的软件，把人文关怀体现为可理解、可访问的服务，让创新能力与职业责任共同成长。具体培养目标及课程归属以学院正式培养方案为准。</w:t>
      </w:r>
    </w:p>
    <w:p>
      <w:pPr>
        <w:jc w:val="both"/>
      </w:pPr>
      <w:r>
        <w:t>正文汉字数：300（仅计汉字，标点、字母和数字不计）。</w:t>
      </w:r>
    </w:p>
    <w:p>
      <w:pPr>
        <w:jc w:val="both"/>
      </w:pPr>
      <w:r>
        <w:t>关联课程：离散数学、C语言程序设计、Python网络程序设计、算法设计与分析。课程归属须由专业负责人核对正式培养方案。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