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ZT-002 机器学习在精准扶贫中的应用</w:t>
      </w:r>
    </w:p>
    <w:p>
      <w:pPr>
        <w:jc w:val="both"/>
      </w:pPr>
      <w:r>
        <w:t>主要维度：人文素养；次要维度：社会责任、职业伦理、科学精神</w:t>
      </w:r>
    </w:p>
    <w:p>
      <w:pPr>
        <w:jc w:val="both"/>
      </w:pPr>
      <w:r>
        <w:t>课程：神经网络与深度学习</w:t>
      </w:r>
    </w:p>
    <w:p>
      <w:pPr>
        <w:jc w:val="both"/>
      </w:pPr>
      <w:r>
        <w:t>知识点：监督学习；分类；召回率；人工复核</w:t>
      </w:r>
    </w:p>
    <w:p>
      <w:pPr>
        <w:jc w:val="both"/>
      </w:pPr>
      <w:r>
        <w:t>入口：#/topics/ZT-002；审核状态：待三级审核（未签审）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教师提供合成的家庭收入、赡养人数与住房条件记录，要求小组建立困难家庭识别模型。总体准确率较高的模型仍漏掉收入不稳定的家庭。课堂把漏判与误判落实到具体求助者，讨论模型辅助公共服务时如何保留人的解释权和申诉渠道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3—9分钟｜技术探究：在同一训练划分上比较两种分类阈值，计算漏判比例，设计“机器提示—工作人员复核—反馈修正”的流程。小组保留计算或运行过程；出现失败时先记录条件，再提出修订。</w:t>
      </w:r>
    </w:p>
    <w:p>
      <w:pPr>
        <w:jc w:val="both"/>
      </w:pPr>
      <w:r>
        <w:t>9—12分钟｜价值讨论：如果提高总体准确率会漏掉更多困难家庭，谁应决定阈值，如何给被漏判者再次核查的机会？每组至少给出一个支持理由和一个适用限制，以技术证据回答。</w:t>
      </w:r>
    </w:p>
    <w:p>
      <w:pPr>
        <w:jc w:val="both"/>
      </w:pPr>
      <w:r>
        <w:t>12—15分钟｜产出与互评：提交混淆矩阵、阈值选择说明、人工复核流程卡；同伴核对结论、来源和边界，教师收取修改后的记录。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学生产出：混淆矩阵、阈值选择说明、人工复核流程卡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只使用合成数据；模型不决定真实救助资格。收入等变量的采集、用途、访问权限和退出机制需独立审查。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原文件：F:\思政库视频资源\任务二思政案例\深度学习\思政案例2机器学习在精准扶贫中的应用.docx</w:t>
      </w:r>
    </w:p>
    <w:p>
      <w:pPr>
        <w:jc w:val="both"/>
      </w:pPr>
      <w:r>
        <w:t>原题：思政案例2机器学习在精准扶贫中的应用</w:t>
      </w:r>
    </w:p>
    <w:p>
      <w:pPr>
        <w:jc w:val="both"/>
      </w:pPr>
      <w:r>
        <w:t>定位：work/docx_evidence.json 第67条；抽取正文字符280—559（包含表格转写）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相关资源ID：deep-learning-15b5c0d8c25d、deep-learning-6549a4d1a19a、deep-learning-90c8af38e853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审核记录编号：SH-ZT-002；教师自检（前置）、专业初审、思政审核、学院评审委员会审定的签字人及日期均留空；未签审。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