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ZT-004 前馈神经网络在手写体识别中的应用与工匠精神</w:t>
      </w:r>
    </w:p>
    <w:p>
      <w:pPr>
        <w:jc w:val="both"/>
      </w:pPr>
      <w:r>
        <w:t>主要维度：科学精神；次要维度：职业伦理、创新思维、文化自信</w:t>
      </w:r>
    </w:p>
    <w:p>
      <w:pPr>
        <w:jc w:val="both"/>
      </w:pPr>
      <w:r>
        <w:t>课程：神经网络与深度学习</w:t>
      </w:r>
    </w:p>
    <w:p>
      <w:pPr>
        <w:jc w:val="both"/>
      </w:pPr>
      <w:r>
        <w:t>知识点：前馈网络；反向传播；梯度下降；错误分析</w:t>
      </w:r>
    </w:p>
    <w:p>
      <w:pPr>
        <w:jc w:val="both"/>
      </w:pPr>
      <w:r>
        <w:t>入口：#/topics/ZT-004；审核状态：待三级审核（未签审）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手写识别演示中，模型把两个形状相近的数字连续混淆。学生不能只展示一次最高准确率，而要检查输入归一化、梯度变化和不同随机种子的结果，并保留错误样本。借由一个可重复的小故障，呈现工匠精神所要求的反复验证与诚实报告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3—9分钟｜技术探究：固定数据划分，改变一个超参数，记录训练曲线；手算一层梯度，检查数值梯度，并分类整理至少三种识别错误。小组保留计算或运行过程；出现失败时先记录条件，再提出修订。</w:t>
      </w:r>
    </w:p>
    <w:p>
      <w:pPr>
        <w:jc w:val="both"/>
      </w:pPr>
      <w:r>
        <w:t>9—12分钟｜价值讨论：模型总分提高后某类数字识别变差，报告中应如何呈现，而不是把错误隐藏在平均数中？每组至少给出一个支持理由和一个适用限制，以技术证据回答。</w:t>
      </w:r>
    </w:p>
    <w:p>
      <w:pPr>
        <w:jc w:val="both"/>
      </w:pPr>
      <w:r>
        <w:t>12—15分钟｜产出与互评：提交梯度检查记录、超参数对照表、错误样本说明；同伴核对结论、来源和边界，教师收取修改后的记录。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学生产出：梯度检查记录、超参数对照表、错误样本说明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手写教学数据须有使用许可；小型数字分类实验不能替代真实票据或身份材料识别系统的验证。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原文件：F:\思政库视频资源\任务二思政案例\深度学习\思政案例4前馈神经网络在手写体识别中的应用与工匠精神.docx</w:t>
      </w:r>
    </w:p>
    <w:p>
      <w:pPr>
        <w:jc w:val="both"/>
      </w:pPr>
      <w:r>
        <w:t>原题：思政案例4前馈神经网络在手写体识别中的应用与工匠精神</w:t>
      </w:r>
    </w:p>
    <w:p>
      <w:pPr>
        <w:jc w:val="both"/>
      </w:pPr>
      <w:r>
        <w:t>定位：work/docx_evidence.json 第69条；抽取正文字符199—478（包含表格转写）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相关资源ID：deep-learning-28c2e06b37a3、deep-learning-ce74318b110a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审核记录编号：SH-ZT-004；教师自检（前置）、专业初审、思政审核、学院评审委员会审定的签字人及日期均留空；未签审。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情境与课堂指导正文汉字数：488。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