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ZT-006 AlphaGo与中国围棋AI的崛起</w:t>
      </w:r>
    </w:p>
    <w:p>
      <w:pPr>
        <w:jc w:val="both"/>
      </w:pPr>
      <w:r>
        <w:t>主要维度：文化自信；次要维度：创新思维、科学精神、人文素养</w:t>
      </w:r>
    </w:p>
    <w:p>
      <w:pPr>
        <w:jc w:val="both"/>
      </w:pPr>
      <w:r>
        <w:t>课程：神经网络与深度学习</w:t>
      </w:r>
    </w:p>
    <w:p>
      <w:pPr>
        <w:jc w:val="both"/>
      </w:pPr>
      <w:r>
        <w:t>知识点：策略网络；价值网络；强化学习；蒙特卡洛树搜索</w:t>
      </w:r>
    </w:p>
    <w:p>
      <w:pPr>
        <w:jc w:val="both"/>
      </w:pPr>
      <w:r>
        <w:t>入口：#/topics/ZT-006；审核状态：待三级审核（未签审）</w:t>
      </w:r>
    </w:p>
    <w:p>
      <w:pPr>
        <w:pStyle w:val="Heading1"/>
      </w:pPr>
      <w:r>
        <w:t>案例情境</w:t>
      </w:r>
    </w:p>
    <w:p>
      <w:pPr>
        <w:jc w:val="both"/>
      </w:pPr>
      <w:r>
        <w:t>现有课程设计稿将围棋与强化学习连接起来。课堂以缩小棋盘上的局部落子为任务：传统搜索会遇到分支爆炸，学习得到的策略又可能忽略长远棋形。学生通过比较两个落子建议，理解围棋文化中的积累、判断与创新，并把算法解释作为人与AI交流的桥梁。本专题沿用现有材料的知识点和价值问题，课堂记录须区分题设、观察与结论。教师先呈现任务，再由学生以计算、代码或图示说明依据，把价值判断落实到可检查的技术选择与使用者影响。</w:t>
      </w:r>
    </w:p>
    <w:p>
      <w:pPr>
        <w:pStyle w:val="Heading1"/>
      </w:pPr>
      <w:r>
        <w:t>15分钟课堂组织</w:t>
      </w:r>
    </w:p>
    <w:p>
      <w:pPr>
        <w:jc w:val="both"/>
      </w:pPr>
      <w:r>
        <w:t>0—3分钟｜导入与建模：阅读上述题设，圈出关键对象、输入输出和可能受影响的人；教师明确本题合成或教学抽象范围。</w:t>
      </w:r>
    </w:p>
    <w:p>
      <w:pPr>
        <w:jc w:val="both"/>
      </w:pPr>
      <w:r>
        <w:t>3—9分钟｜技术探究：绘制两层搜索树，比较策略概率与价值估计；观察一次探索参数变化，给出既说明技术依据又尊重棋理的落子解释。小组保留计算或运行过程；出现失败时先记录条件，再提出修订。</w:t>
      </w:r>
    </w:p>
    <w:p>
      <w:pPr>
        <w:jc w:val="both"/>
      </w:pPr>
      <w:r>
        <w:t>9—12分钟｜价值讨论：AI建议与人的经验冲突时，应怎样检验双方依据，而不是把机器胜负直接等同于文化优劣？每组至少给出一个支持理由和一个适用限制，以技术证据回答。</w:t>
      </w:r>
    </w:p>
    <w:p>
      <w:pPr>
        <w:jc w:val="both"/>
      </w:pPr>
      <w:r>
        <w:t>12—15分钟｜产出与互评：提交搜索树、落子依据卡、人与AI合作分析短文；同伴核对结论、来源和边界，教师收取修改后的记录。</w:t>
      </w:r>
    </w:p>
    <w:p>
      <w:pPr>
        <w:pStyle w:val="Heading1"/>
      </w:pPr>
      <w:r>
        <w:t>学生产出与评价</w:t>
      </w:r>
    </w:p>
    <w:p>
      <w:pPr>
        <w:jc w:val="both"/>
      </w:pPr>
      <w:r>
        <w:t>学生产出：搜索树、落子依据卡、人与AI合作分析短文</w:t>
      </w:r>
    </w:p>
    <w:p>
      <w:pPr>
        <w:jc w:val="both"/>
      </w:pPr>
      <w:r>
        <w:t>评价比例：技术正确与验证40分；使用者影响与价值理由25分；来源、记录及边界20分；协作解释与修改15分。</w:t>
      </w:r>
    </w:p>
    <w:p>
      <w:pPr>
        <w:jc w:val="both"/>
      </w:pPr>
      <w:r>
        <w:t>百分制仅用于课堂方案；教师按证据给分。技术错误未修订或越出授权范围时须先整改，不以态度口号替代技术验证；实际成绩与效果不得由本稿生成。</w:t>
      </w:r>
    </w:p>
    <w:p>
      <w:pPr>
        <w:pStyle w:val="Heading1"/>
      </w:pPr>
      <w:r>
        <w:t>技术与使用边界</w:t>
      </w:r>
    </w:p>
    <w:p>
      <w:pPr>
        <w:jc w:val="both"/>
      </w:pPr>
      <w:r>
        <w:t>只讨论小棋盘教学模型；不声称复现商业围棋系统，不沿用原稿中的当前排名、胜率或未经核验的赛事数据。</w:t>
      </w:r>
    </w:p>
    <w:p>
      <w:pPr>
        <w:pStyle w:val="Heading1"/>
      </w:pPr>
      <w:r>
        <w:t>可追溯来源</w:t>
      </w:r>
    </w:p>
    <w:p>
      <w:pPr>
        <w:jc w:val="both"/>
      </w:pPr>
      <w:r>
        <w:t>原文件：F:\思政库视频资源\课程思政库建设项目\课程设计方案word\01_神经网络与深度学习_思政案例设计（谢鑫2025.12.25）.docx</w:t>
      </w:r>
    </w:p>
    <w:p>
      <w:pPr>
        <w:jc w:val="both"/>
      </w:pPr>
      <w:r>
        <w:t>原题：案例2:AlphaGo与中国围棋AI的崛起</w:t>
      </w:r>
    </w:p>
    <w:p>
      <w:pPr>
        <w:jc w:val="both"/>
      </w:pPr>
      <w:r>
        <w:t>定位：对应抽取文本work/01_神经网络与深度学习_思政案例设计（谢鑫2025.12.25）.txt，字符8644—8757；课程整体设计中的围棋案例段</w:t>
      </w:r>
    </w:p>
    <w:p>
      <w:pPr>
        <w:jc w:val="both"/>
      </w:pPr>
      <w:r>
        <w:t>来源类型：现有课程整体设计稿（待教师签审）</w:t>
      </w:r>
    </w:p>
    <w:p>
      <w:pPr>
        <w:jc w:val="both"/>
      </w:pPr>
      <w:r>
        <w:t>相关资源ID：deep-learning-cc33339d1774、deep-learning-8ebab9c331fb、deep-learning-f14f0db8e6c2</w:t>
      </w:r>
    </w:p>
    <w:p>
      <w:pPr>
        <w:pStyle w:val="Heading1"/>
      </w:pPr>
      <w:r>
        <w:t>修订说明</w:t>
      </w:r>
    </w:p>
    <w:p>
      <w:pPr>
        <w:pStyle w:val="ListBullet"/>
      </w:pPr>
      <w:r>
        <w:t>内容为依据原稿整理的课堂使用稿，未声称已经实施或取得育人成效。</w:t>
      </w:r>
    </w:p>
    <w:p>
      <w:pPr>
        <w:jc w:val="both"/>
      </w:pPr>
      <w:r>
        <w:t>审核记录编号：SH-ZT-006；教师自检（前置）、专业初审、思政审核、学院评审委员会审定的签字人及日期均留空；未签审。</w:t>
      </w:r>
    </w:p>
    <w:p>
      <w:pPr>
        <w:jc w:val="both"/>
      </w:pPr>
      <w:r>
        <w:t>情境与课堂指导正文汉字数：500。</w:t>
      </w:r>
    </w:p>
    <w:sectPr w:rsidR="00FC693F" w:rsidRPr="0006063C" w:rsidSect="00034616">
      <w:footerReference w:type="default" r:id="rId9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20"/>
      <w:ind w:firstLine="482"/>
    </w:pPr>
    <w:rPr>
      <w:rFonts w:ascii="Calibri" w:hAnsi="Calibri" w:eastAsia="SimSun" w:cs="Calibri"/>
      <w:b w:val="0"/>
      <w:color w:val="202B3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 w:line="324" w:lineRule="auto"/>
      <w:outlineLvl w:val="0"/>
    </w:pPr>
    <w:rPr>
      <w:rFonts w:ascii="Calibri" w:hAnsi="Calibri" w:eastAsia="SimSun" w:cs="Calibri"/>
      <w:color w:val="202B3A"/>
      <w:sz w:val="36"/>
      <w:szCs w:val="28"/>
      <w14:textOutline w14:w="1905" w14:cap="flat" w14:cmpd="sng" w14:algn="ctr">
        <w14:solidFill>
          <w14:srgbClr w14:val="202B3A"/>
        </w14:solidFill>
        <w14:prstDash w14:val="solid"/>
        <w14:round/>
      </w14:textOutline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 w:line="324" w:lineRule="auto"/>
      <w:outlineLvl w:val="1"/>
    </w:pPr>
    <w:rPr>
      <w:rFonts w:ascii="Calibri" w:hAnsi="Calibri" w:eastAsia="SimSun" w:cs="Calibri"/>
      <w:color w:val="202B3A"/>
      <w:sz w:val="28"/>
      <w:szCs w:val="26"/>
      <w14:textOutline w14:w="1905" w14:cap="flat" w14:cmpd="sng" w14:algn="ctr">
        <w14:solidFill>
          <w14:srgbClr w14:val="202B3A"/>
        </w14:solidFill>
        <w14:prstDash w14:val="solid"/>
        <w14:round/>
      </w14:textOutline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60" w:after="120" w:line="324" w:lineRule="auto"/>
      <w:outlineLvl w:val="2"/>
    </w:pPr>
    <w:rPr>
      <w:rFonts w:ascii="Calibri" w:hAnsi="Calibri" w:eastAsia="SimSun" w:cs="Calibri"/>
      <w:color w:val="202B3A"/>
      <w:sz w:val="24"/>
      <w14:textOutline w14:w="1905" w14:cap="flat" w14:cmpd="sng" w14:algn="ctr">
        <w14:solidFill>
          <w14:srgbClr w14:val="202B3A"/>
        </w14:solidFill>
        <w14:prstDash w14:val="solid"/>
        <w14:round/>
      </w14:textOutlin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324" w:lineRule="auto" w:before="360"/>
      <w:contextualSpacing/>
    </w:pPr>
    <w:rPr>
      <w:rFonts w:ascii="Calibri" w:hAnsi="Calibri" w:eastAsia="SimSun" w:cs="Calibri"/>
      <w:color w:val="202B3A"/>
      <w:spacing w:val="5"/>
      <w:kern w:val="28"/>
      <w:sz w:val="44"/>
      <w:szCs w:val="52"/>
      <w14:textOutline w14:w="1905" w14:cap="flat" w14:cmpd="sng" w14:algn="ctr">
        <w14:solidFill>
          <w14:srgbClr w14:val="202B3A"/>
        </w14:solidFill>
        <w14:prstDash w14:val="solid"/>
        <w14:round/>
      </w14:textOutline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324" w:lineRule="auto" w:after="120"/>
      <w:contextualSpacing/>
    </w:pPr>
    <w:rPr>
      <w:rFonts w:ascii="Calibri" w:hAnsi="Calibri" w:eastAsia="SimSun" w:cs="Calibri"/>
      <w:b w:val="0"/>
      <w:color w:val="202B3A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324" w:lineRule="auto" w:after="120"/>
      <w:contextualSpacing/>
    </w:pPr>
    <w:rPr>
      <w:rFonts w:ascii="Calibri" w:hAnsi="Calibri" w:eastAsia="SimSun" w:cs="Calibri"/>
      <w:b w:val="0"/>
      <w:color w:val="202B3A"/>
      <w:sz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