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ZT-012 传统文化数据挖掘——古籍智能整理</w:t>
      </w:r>
    </w:p>
    <w:p>
      <w:pPr>
        <w:jc w:val="both"/>
      </w:pPr>
      <w:r>
        <w:t>主要维度：文化自信；次要维度：人文素养、创新思维、科学精神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知识点：文本挖掘；聚类；分类；版本溯源</w:t>
      </w:r>
    </w:p>
    <w:p>
      <w:pPr>
        <w:jc w:val="both"/>
      </w:pPr>
      <w:r>
        <w:t>入口：#/topics/ZT-012；审核状态：待三级审核（未签审）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古籍整理任务面对异体字、残缺句和不同版本。课堂选用有许可的短文本或合成片段，算法聚类能发现相似段落，也会把不同语义误合并。学生将数字工具作为辅助整理手段，保留版本来源和人工校勘意见，让技术服务文化保存而不掩盖文本差异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3—9分钟｜技术探究：比较两种分词方法的聚类结果，标出一个误合并；为修订添加原文、版本和校勘理由，并保留未定字。小组保留计算或运行过程；出现失败时先记录条件，再提出修订。</w:t>
      </w:r>
    </w:p>
    <w:p>
      <w:pPr>
        <w:jc w:val="both"/>
      </w:pPr>
      <w:r>
        <w:t>9—12分钟｜价值讨论：如果模型给出的“通顺文本”改变了原意，整理者应该怎样保存不确定性？每组至少给出一个支持理由和一个适用限制，以技术证据回答。</w:t>
      </w:r>
    </w:p>
    <w:p>
      <w:pPr>
        <w:jc w:val="both"/>
      </w:pPr>
      <w:r>
        <w:t>12—15分钟｜产出与互评：提交版本对照页、误分类记录、校勘来源卡；同伴核对结论、来源和边界，教师收取修改后的记录。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学生产出：版本对照页、误分类记录、校勘来源卡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不把自动修复当成原典；原稿中误列KNN的知识点已按该主题修订为文本挖掘，真实古籍需授权及专家校勘。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原文件：F:\思政库视频资源\任务二思政案例\02数据挖掘\案例6 传统文化数据挖掘——古籍智能整理\案例6传统文化数据挖掘——古籍智能整理+ 2.3 数据挖掘常用技术+罗莉霞2026-2-7.docx</w:t>
      </w:r>
    </w:p>
    <w:p>
      <w:pPr>
        <w:jc w:val="both"/>
      </w:pPr>
      <w:r>
        <w:t>原题：案例6传统文化数据挖掘——古籍智能整理+ 2.3 数据挖掘常用技术+罗莉霞2026-2-7</w:t>
      </w:r>
    </w:p>
    <w:p>
      <w:pPr>
        <w:jc w:val="both"/>
      </w:pPr>
      <w:r>
        <w:t>定位：work/docx_evidence.json 第14条；抽取正文字符194—473（包含表格转写）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相关资源ID：data-mining-bf01f2057eaa、data-mining-8d1e6fd03831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原教师表知识点有KNN模板残留，本稿采用古籍文本挖掘与版本校勘。</w:t>
      </w:r>
    </w:p>
    <w:p>
      <w:pPr>
        <w:jc w:val="both"/>
      </w:pPr>
      <w:r>
        <w:t>审核记录编号：SH-ZT-012；教师自检（前置）、专业初审、思政审核、学院评审委员会审定的签字人及日期均留空；未签审。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