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ZT-019 数据质量与科研诚信</w:t>
      </w:r>
    </w:p>
    <w:p>
      <w:pPr>
        <w:jc w:val="both"/>
      </w:pPr>
      <w:r>
        <w:t>主要维度：科学精神；次要维度：职业伦理、社会责任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知识点：准确性；完整性；时效性；清洗日志</w:t>
      </w:r>
    </w:p>
    <w:p>
      <w:pPr>
        <w:jc w:val="both"/>
      </w:pPr>
      <w:r>
        <w:t>入口：#/topics/ZT-019；审核状态：待三级审核（未签审）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师提供带有重复行、单位混用和缺失值的合成观测表。小组为得到好看的模型指标，可能选择悄悄删除困难样本。课堂要求每次修订都写清原因、保留原始数据和处理脚本，把数据质量工作与科研诚信连接起来，让结论能被他人检查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3—9分钟｜技术探究：逐条建立质量规则，发现单位混用和重复记录；分别比较保留、删除与填补策略，并生成逐步清洗日志。小组保留计算或运行过程；出现失败时先记录条件，再提出修订。</w:t>
      </w:r>
    </w:p>
    <w:p>
      <w:pPr>
        <w:jc w:val="both"/>
      </w:pPr>
      <w:r>
        <w:t>9—12分钟｜价值讨论：异常值不符合预期时，应如何区别合理修订和为了结果修改数据？每组至少给出一个支持理由和一个适用限制，以技术证据回答。</w:t>
      </w:r>
    </w:p>
    <w:p>
      <w:pPr>
        <w:jc w:val="both"/>
      </w:pPr>
      <w:r>
        <w:t>12—15分钟｜产出与互评：提交数据质量报告、不可覆盖的原始副本、清洗脚本及日志；同伴核对结论、来源和边界，教师收取修改后的记录。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学生产出：数据质量报告、不可覆盖的原始副本、清洗脚本及日志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不把异常自动等同错误；删除规则应先说明再执行，结果不理想也必须保留。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原文件：F:\思政库视频资源\任务二思政案例\03_数据采集与预处理\案例4数据质量与科研诚信\案例4数据质量与科研诚信+绪论  数据质量评估+罗莉霞2026-2-10.docx</w:t>
      </w:r>
    </w:p>
    <w:p>
      <w:pPr>
        <w:jc w:val="both"/>
      </w:pPr>
      <w:r>
        <w:t>原题：案例4数据质量与科研诚信+绪论  数据质量评估+罗莉霞2026-2-10</w:t>
      </w:r>
    </w:p>
    <w:p>
      <w:pPr>
        <w:jc w:val="both"/>
      </w:pPr>
      <w:r>
        <w:t>定位：work/docx_evidence.json 第30条；抽取正文字符91—370（包含表格转写）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相关资源ID：data-collection-69c2b5d9c5e3、data-collection-041dc42a71d8、data-collection-1464b1f1be06、data-collection-569f2a1bd6d9、data-collection-f21be49f6615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审核记录编号：SH-ZT-019；教师自检（前置）、专业初审、思政审核、学院评审委员会审定的签字人及日期均留空；未签审。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情境与课堂指导正文汉字数：470。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