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ZT-022 中文信息处理与文化自信</w:t>
      </w:r>
    </w:p>
    <w:p>
      <w:pPr>
        <w:jc w:val="both"/>
      </w:pPr>
      <w:r>
        <w:t>主要维度：文化自信；次要维度：科学精神、创新思维、人文素养</w:t>
      </w:r>
    </w:p>
    <w:p>
      <w:pPr>
        <w:jc w:val="both"/>
      </w:pPr>
      <w:r>
        <w:t>课程：数据采集与预处理</w:t>
      </w:r>
    </w:p>
    <w:p>
      <w:pPr>
        <w:jc w:val="both"/>
      </w:pPr>
      <w:r>
        <w:t>知识点：Unicode；UTF-8；XML；JSON；YAML</w:t>
      </w:r>
    </w:p>
    <w:p>
      <w:pPr>
        <w:jc w:val="both"/>
      </w:pPr>
      <w:r>
        <w:t>入口：#/topics/ZT-022；审核状态：待三级审核（未签审）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本地文化资料页含有生僻字、繁体字和带声调的拼音。网页显示正常，导出CSV后却出现乱码或字符丢失。学生沿输入、存储、传输和显示检查编码，让中文资料完整地进入数字系统；文化自信在这里体现为尊重文字差异和做好技术细节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3—9分钟｜技术探究：对同一短文本进行编码读写与往返测试，比较三种结构化格式；记录一个乱码原因，并保留原始字形及编码信息。小组保留计算或运行过程；出现失败时先记录条件，再提出修订。</w:t>
      </w:r>
    </w:p>
    <w:p>
      <w:pPr>
        <w:jc w:val="both"/>
      </w:pPr>
      <w:r>
        <w:t>9—12分钟｜价值讨论：为方便分析统一替换所有异体字，会不会损失文化信息？如何保留机器处理与原文呈现两种需求？每组至少给出一个支持理由和一个适用限制，以技术证据回答。</w:t>
      </w:r>
    </w:p>
    <w:p>
      <w:pPr>
        <w:jc w:val="both"/>
      </w:pPr>
      <w:r>
        <w:t>12—15分钟｜产出与互评：提交编码往返测试、原文对照表、数据交换规范；同伴核对结论、来源和边界，教师收取修改后的记录。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学生产出：编码往返测试、原文对照表、数据交换规范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编码转换不等于语言或版本校勘；不要把繁简转换结果当作唯一正确原文，标准版本由课程负责人核验。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原文件：F:\思政库视频资源\任务二思政案例\03_数据采集与预处理\案例7中文信息处理与文化自信\案例7中文信息处理与文化自信+第三章 信息标记与提取方法+罗莉霞2026-2-10.docx</w:t>
      </w:r>
    </w:p>
    <w:p>
      <w:pPr>
        <w:jc w:val="both"/>
      </w:pPr>
      <w:r>
        <w:t>原题：案例7中文信息处理与文化自信+第三章 信息标记与提取方法+罗莉霞2026-2-10</w:t>
      </w:r>
    </w:p>
    <w:p>
      <w:pPr>
        <w:jc w:val="both"/>
      </w:pPr>
      <w:r>
        <w:t>定位：work/docx_evidence.json 第36条；抽取正文字符180—459（包含表格转写）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相关资源ID：data-collection-cb8a32294854、data-collection-0cadb3cfa566、data-collection-1464b1f1be06、data-collection-84d5ea0f8642、data-collection-dbbe08f586ee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审核记录编号：SH-ZT-022；教师自检（前置）、专业初审、思政审核、学院评审委员会审定的签字人及日期均留空；未签审。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情境与课堂指导正文汉字数：493。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