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ZT-025 智能信息提取与算法公平性</w:t>
      </w:r>
    </w:p>
    <w:p>
      <w:pPr>
        <w:jc w:val="both"/>
      </w:pPr>
      <w:r>
        <w:t>主要维度：人文素养；次要维度：科学精神、社会责任、职业伦理</w:t>
      </w:r>
    </w:p>
    <w:p>
      <w:pPr>
        <w:jc w:val="both"/>
      </w:pPr>
      <w:r>
        <w:t>课程：数据采集与预处理</w:t>
      </w:r>
    </w:p>
    <w:p>
      <w:pPr>
        <w:jc w:val="both"/>
      </w:pPr>
      <w:r>
        <w:t>知识点：XPath；字段覆盖；样本代表性；错误分组</w:t>
      </w:r>
    </w:p>
    <w:p>
      <w:pPr>
        <w:jc w:val="both"/>
      </w:pPr>
      <w:r>
        <w:t>入口：#/topics/ZT-025；审核状态：待三级审核（未签审）</w:t>
      </w:r>
    </w:p>
    <w:p>
      <w:pPr>
        <w:pStyle w:val="Heading1"/>
      </w:pPr>
      <w:r>
        <w:t>案例情境</w:t>
      </w:r>
    </w:p>
    <w:p>
      <w:pPr>
        <w:jc w:val="both"/>
      </w:pPr>
      <w:r>
        <w:t>两个本地模拟站点采用不同HTML结构，XPath脚本只正确采集其中一个站点。后续模型把缺失较多的另一群体描述得不准确。学生需要认识偏差可能在建模之前产生，数据采集者同样承担公平与完整呈现的责任。本专题沿用现有材料的知识点和价值问题，课堂记录须区分题设、观察与结论。教师先呈现任务，再由学生以计算、代码或图示说明依据，把价值判断落实到可检查的技术选择与使用者影响。</w:t>
      </w:r>
    </w:p>
    <w:p>
      <w:pPr>
        <w:pStyle w:val="Heading1"/>
      </w:pPr>
      <w:r>
        <w:t>15分钟课堂组织</w:t>
      </w:r>
    </w:p>
    <w:p>
      <w:pPr>
        <w:jc w:val="both"/>
      </w:pPr>
      <w:r>
        <w:t>0—3分钟｜导入与建模：阅读上述题设，圈出关键对象、输入输出和可能受影响的人；教师明确本题合成或教学抽象范围。</w:t>
      </w:r>
    </w:p>
    <w:p>
      <w:pPr>
        <w:jc w:val="both"/>
      </w:pPr>
      <w:r>
        <w:t>3—9分钟｜技术探究：比较两个结构的字段覆盖率，改写XPath并保留缺失原因；按页面类型分别统计错误，提出补采和人工核对方案。小组保留计算或运行过程；出现失败时先记录条件，再提出修订。</w:t>
      </w:r>
    </w:p>
    <w:p>
      <w:pPr>
        <w:jc w:val="both"/>
      </w:pPr>
      <w:r>
        <w:t>9—12分钟｜价值讨论：某群体的信息比较难提取，能否直接丢弃？怎样把采集困难与真实情况区分开来？每组至少给出一个支持理由和一个适用限制，以技术证据回答。</w:t>
      </w:r>
    </w:p>
    <w:p>
      <w:pPr>
        <w:jc w:val="both"/>
      </w:pPr>
      <w:r>
        <w:t>12—15分钟｜产出与互评：提交XPath测试、分组覆盖率表、缺失原因及补采清单；同伴核对结论、来源和边界，教师收取修改后的记录。</w:t>
      </w:r>
    </w:p>
    <w:p>
      <w:pPr>
        <w:pStyle w:val="Heading1"/>
      </w:pPr>
      <w:r>
        <w:t>学生产出与评价</w:t>
      </w:r>
    </w:p>
    <w:p>
      <w:pPr>
        <w:jc w:val="both"/>
      </w:pPr>
      <w:r>
        <w:t>学生产出：XPath测试、分组覆盖率表、缺失原因及补采清单</w:t>
      </w:r>
    </w:p>
    <w:p>
      <w:pPr>
        <w:jc w:val="both"/>
      </w:pPr>
      <w:r>
        <w:t>评价比例：技术正确与验证40分；使用者影响与价值理由25分；来源、记录及边界20分；协作解释与修改15分。</w:t>
      </w:r>
    </w:p>
    <w:p>
      <w:pPr>
        <w:jc w:val="both"/>
      </w:pPr>
      <w:r>
        <w:t>百分制仅用于课堂方案；教师按证据给分。技术错误未修订或越出授权范围时须先整改，不以态度口号替代技术验证；实际成绩与效果不得由本稿生成。</w:t>
      </w:r>
    </w:p>
    <w:p>
      <w:pPr>
        <w:pStyle w:val="Heading1"/>
      </w:pPr>
      <w:r>
        <w:t>技术与使用边界</w:t>
      </w:r>
    </w:p>
    <w:p>
      <w:pPr>
        <w:jc w:val="both"/>
      </w:pPr>
      <w:r>
        <w:t>只使用合成页面；样本覆盖改善不等于消除全部偏差，不采集真实弱势群体身份信息。</w:t>
      </w:r>
    </w:p>
    <w:p>
      <w:pPr>
        <w:pStyle w:val="Heading1"/>
      </w:pPr>
      <w:r>
        <w:t>可追溯来源</w:t>
      </w:r>
    </w:p>
    <w:p>
      <w:pPr>
        <w:jc w:val="both"/>
      </w:pPr>
      <w:r>
        <w:t>原文件：F:\思政库视频资源\任务二思政案例\03_数据采集与预处理\案例10智能信息提取与算法公平性\案例10智能信息提取与算法公平性+六、XPath 解析网页+罗莉霞2026-2-13.docx</w:t>
      </w:r>
    </w:p>
    <w:p>
      <w:pPr>
        <w:jc w:val="both"/>
      </w:pPr>
      <w:r>
        <w:t>原题：案例10智能信息提取与算法公平性+六、XPath 解析网页+罗莉霞2026-2-13</w:t>
      </w:r>
    </w:p>
    <w:p>
      <w:pPr>
        <w:jc w:val="both"/>
      </w:pPr>
      <w:r>
        <w:t>定位：work/docx_evidence.json 第22条；抽取正文字符137—416（包含表格转写）</w:t>
      </w:r>
    </w:p>
    <w:p>
      <w:pPr>
        <w:jc w:val="both"/>
      </w:pPr>
      <w:r>
        <w:t>来源类型：教师案例原稿</w:t>
      </w:r>
    </w:p>
    <w:p>
      <w:pPr>
        <w:jc w:val="both"/>
      </w:pPr>
      <w:r>
        <w:t>相关资源ID：data-collection-c656a6d42fbb、data-collection-0c9a7bb31a79</w:t>
      </w:r>
    </w:p>
    <w:p>
      <w:pPr>
        <w:pStyle w:val="Heading1"/>
      </w:pPr>
      <w:r>
        <w:t>修订说明</w:t>
      </w:r>
    </w:p>
    <w:p>
      <w:pPr>
        <w:pStyle w:val="ListBullet"/>
      </w:pPr>
      <w:r>
        <w:t>内容为依据原稿整理的课堂使用稿，未声称已经实施或取得育人成效。</w:t>
      </w:r>
    </w:p>
    <w:p>
      <w:pPr>
        <w:jc w:val="both"/>
      </w:pPr>
      <w:r>
        <w:t>审核记录编号：SH-ZT-025；教师自检（前置）、专业初审、思政审核、学院评审委员会审定的签字人及日期均留空；未签审。</w:t>
      </w:r>
    </w:p>
    <w:p>
      <w:pPr>
        <w:jc w:val="both"/>
      </w:pPr>
      <w:r>
        <w:t>情境与课堂指导正文汉字数：464。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  <w:ind w:firstLine="482"/>
    </w:pPr>
    <w:rPr>
      <w:rFonts w:ascii="Calibri" w:hAnsi="Calibri" w:eastAsia="SimSun" w:cs="Calibri"/>
      <w:b w:val="0"/>
      <w:color w:val="202B3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324" w:lineRule="auto"/>
      <w:outlineLvl w:val="0"/>
    </w:pPr>
    <w:rPr>
      <w:rFonts w:ascii="Calibri" w:hAnsi="Calibri" w:eastAsia="SimSun" w:cs="Calibri"/>
      <w:color w:val="202B3A"/>
      <w:sz w:val="36"/>
      <w:szCs w:val="28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324" w:lineRule="auto"/>
      <w:outlineLvl w:val="1"/>
    </w:pPr>
    <w:rPr>
      <w:rFonts w:ascii="Calibri" w:hAnsi="Calibri" w:eastAsia="SimSun" w:cs="Calibri"/>
      <w:color w:val="202B3A"/>
      <w:sz w:val="28"/>
      <w:szCs w:val="26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20" w:line="324" w:lineRule="auto"/>
      <w:outlineLvl w:val="2"/>
    </w:pPr>
    <w:rPr>
      <w:rFonts w:ascii="Calibri" w:hAnsi="Calibri" w:eastAsia="SimSun" w:cs="Calibri"/>
      <w:color w:val="202B3A"/>
      <w:sz w:val="24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324" w:lineRule="auto" w:before="360"/>
      <w:contextualSpacing/>
    </w:pPr>
    <w:rPr>
      <w:rFonts w:ascii="Calibri" w:hAnsi="Calibri" w:eastAsia="SimSun" w:cs="Calibri"/>
      <w:color w:val="202B3A"/>
      <w:spacing w:val="5"/>
      <w:kern w:val="28"/>
      <w:sz w:val="44"/>
      <w:szCs w:val="52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24" w:lineRule="auto" w:after="120"/>
      <w:contextualSpacing/>
    </w:pPr>
    <w:rPr>
      <w:rFonts w:ascii="Calibri" w:hAnsi="Calibri" w:eastAsia="SimSun" w:cs="Calibri"/>
      <w:b w:val="0"/>
      <w:color w:val="202B3A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24" w:lineRule="auto" w:after="120"/>
      <w:contextualSpacing/>
    </w:pPr>
    <w:rPr>
      <w:rFonts w:ascii="Calibri" w:hAnsi="Calibri" w:eastAsia="SimSun" w:cs="Calibri"/>
      <w:b w:val="0"/>
      <w:color w:val="202B3A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