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ZT-026 网络空间主权与国家安全战略</w:t>
      </w:r>
    </w:p>
    <w:p>
      <w:pPr>
        <w:jc w:val="both"/>
      </w:pPr>
      <w:r>
        <w:t>主要维度：家国情怀；次要维度：法治意识、社会责任、职业伦理</w:t>
      </w:r>
    </w:p>
    <w:p>
      <w:pPr>
        <w:jc w:val="both"/>
      </w:pPr>
      <w:r>
        <w:t>课程：网络安全技术</w:t>
      </w:r>
    </w:p>
    <w:p>
      <w:pPr>
        <w:jc w:val="both"/>
      </w:pPr>
      <w:r>
        <w:t>知识点：安全目标；威胁建模；资产识别；安全责任</w:t>
      </w:r>
    </w:p>
    <w:p>
      <w:pPr>
        <w:jc w:val="both"/>
      </w:pPr>
      <w:r>
        <w:t>入口：#/topics/ZT-026；审核状态：待三级审核（未签审）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模拟校园服务系统同时依赖账号、数据库和外部接口。学生为其中断、泄露和数据被改写三种风险建模，理解网络空间安全最终关系到正常教学和公共服务。爱国意识落实为资产清单、责任划分与日常维护，而不是只停留在事件口号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3—9分钟｜技术探究：画出本地系统的数据流，为三个风险分别标注资产、威胁和控制措施；对照可用性、完整性与保密性检查遗漏。小组保留计算或运行过程；出现失败时先记录条件，再提出修订。</w:t>
      </w:r>
    </w:p>
    <w:p>
      <w:pPr>
        <w:jc w:val="both"/>
      </w:pPr>
      <w:r>
        <w:t>9—12分钟｜价值讨论：系统“还能打开”是否等于安全？普通开发者应承担哪些可以落实的安全责任？每组至少给出一个支持理由和一个适用限制，以技术证据回答。</w:t>
      </w:r>
    </w:p>
    <w:p>
      <w:pPr>
        <w:jc w:val="both"/>
      </w:pPr>
      <w:r>
        <w:t>12—15分钟｜产出与互评：提交资产清单、威胁模型、责任分工表；同伴核对结论、来源和边界，教师收取修改后的记录。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学生产出：资产清单、威胁模型、责任分工表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仅分析教师指定的模拟系统；不扫描外部网络，不把厂商国别直接当作系统是否安全的结论。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原文件：F:\思政库视频资源\任务二思政案例\网络\思政案例1-网络安全技术概述.docx</w:t>
      </w:r>
    </w:p>
    <w:p>
      <w:pPr>
        <w:jc w:val="both"/>
      </w:pPr>
      <w:r>
        <w:t>原题：思政案例1-网络安全技术概述</w:t>
      </w:r>
    </w:p>
    <w:p>
      <w:pPr>
        <w:jc w:val="both"/>
      </w:pPr>
      <w:r>
        <w:t>定位：work/docx_evidence.json 第71条；抽取正文字符583—862（包含表格转写）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相关资源ID：network-security-714f4a9e8f32、network-security-16f9bb531d03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审核记录编号：SH-ZT-026；教师自检（前置）、专业初审、思政审核、学院评审委员会审定的签字人及日期均留空；未签审。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情境与课堂指导正文汉字数：474。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