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ZT-027 网络攻击的法律红线与授权边界</w:t>
      </w:r>
    </w:p>
    <w:p>
      <w:pPr>
        <w:jc w:val="both"/>
      </w:pPr>
      <w:r>
        <w:t>主要维度：法治意识；次要维度：职业伦理、社会责任、家国情怀</w:t>
      </w:r>
    </w:p>
    <w:p>
      <w:pPr>
        <w:jc w:val="both"/>
      </w:pPr>
      <w:r>
        <w:t>课程：网络安全技术</w:t>
      </w:r>
    </w:p>
    <w:p>
      <w:pPr>
        <w:jc w:val="both"/>
      </w:pPr>
      <w:r>
        <w:t>知识点：攻击面；授权范围；漏洞验证；负责任披露</w:t>
      </w:r>
    </w:p>
    <w:p>
      <w:pPr>
        <w:jc w:val="both"/>
      </w:pPr>
      <w:r>
        <w:t>入口：#/topics/ZT-027；审核状态：待三级审核（未签审）</w:t>
      </w:r>
    </w:p>
    <w:p>
      <w:pPr>
        <w:pStyle w:val="Heading1"/>
      </w:pPr>
      <w:r>
        <w:t>案例情境</w:t>
      </w:r>
    </w:p>
    <w:p>
      <w:pPr>
        <w:jc w:val="both"/>
      </w:pPr>
      <w:r>
        <w:t>课堂给出一份漏洞报告，其中只写“测试教学系统”，没有限定对象、时间和数据处理。学生需要把技术验证置于明确许可中：发现缺陷之后，既要保留最少必要证据，也要避免继续读取无关数据或公开影响他人的细节。本专题沿用现有材料的知识点和价值问题，课堂记录须区分题设、观察与结论。教师先呈现任务，再由学生以计算、代码或图示说明依据，把价值判断落实到可检查的技术选择与使用者影响。</w:t>
      </w:r>
    </w:p>
    <w:p>
      <w:pPr>
        <w:pStyle w:val="Heading1"/>
      </w:pPr>
      <w:r>
        <w:t>15分钟课堂组织</w:t>
      </w:r>
    </w:p>
    <w:p>
      <w:pPr>
        <w:jc w:val="both"/>
      </w:pPr>
      <w:r>
        <w:t>0—3分钟｜导入与建模：阅读上述题设，圈出关键对象、输入输出和可能受影响的人；教师明确本题合成或教学抽象范围。</w:t>
      </w:r>
    </w:p>
    <w:p>
      <w:pPr>
        <w:jc w:val="both"/>
      </w:pPr>
      <w:r>
        <w:t>3—9分钟｜技术探究：补全本地靶场的授权范围和停止条件；审阅脱敏的漏洞报告，删除不必要数据，设计修复确认与披露流程。小组保留计算或运行过程；出现失败时先记录条件，再提出修订。</w:t>
      </w:r>
    </w:p>
    <w:p>
      <w:pPr>
        <w:jc w:val="both"/>
      </w:pPr>
      <w:r>
        <w:t>9—12分钟｜价值讨论：发现漏洞之后，继续扩大验证是否一定有助于修复？何时应停止并报告？每组至少给出一个支持理由和一个适用限制，以技术证据回答。</w:t>
      </w:r>
    </w:p>
    <w:p>
      <w:pPr>
        <w:jc w:val="both"/>
      </w:pPr>
      <w:r>
        <w:t>12—15分钟｜产出与互评：提交授权任务书、脱敏漏洞报告、修复与披露记录模板；同伴核对结论、来源和边界，教师收取修改后的记录。</w:t>
      </w:r>
    </w:p>
    <w:p>
      <w:pPr>
        <w:pStyle w:val="Heading1"/>
      </w:pPr>
      <w:r>
        <w:t>学生产出与评价</w:t>
      </w:r>
    </w:p>
    <w:p>
      <w:pPr>
        <w:jc w:val="both"/>
      </w:pPr>
      <w:r>
        <w:t>学生产出：授权任务书、脱敏漏洞报告、修复与披露记录模板</w:t>
      </w:r>
    </w:p>
    <w:p>
      <w:pPr>
        <w:jc w:val="both"/>
      </w:pPr>
      <w:r>
        <w:t>评价比例：技术正确与验证40分；使用者影响与价值理由25分；来源、记录及边界20分；协作解释与修改15分。</w:t>
      </w:r>
    </w:p>
    <w:p>
      <w:pPr>
        <w:jc w:val="both"/>
      </w:pPr>
      <w:r>
        <w:t>百分制仅用于课堂方案；教师按证据给分。技术错误未修订或越出授权范围时须先整改，不以态度口号替代技术验证；实际成绩与效果不得由本稿生成。</w:t>
      </w:r>
    </w:p>
    <w:p>
      <w:pPr>
        <w:pStyle w:val="Heading1"/>
      </w:pPr>
      <w:r>
        <w:t>技术与使用边界</w:t>
      </w:r>
    </w:p>
    <w:p>
      <w:pPr>
        <w:jc w:val="both"/>
      </w:pPr>
      <w:r>
        <w:t>不提供对真实系统的攻击步骤；全部演示限定本地、隔离且获授权靶场。授权不覆盖范围外访问。</w:t>
      </w:r>
    </w:p>
    <w:p>
      <w:pPr>
        <w:pStyle w:val="Heading1"/>
      </w:pPr>
      <w:r>
        <w:t>可追溯来源</w:t>
      </w:r>
    </w:p>
    <w:p>
      <w:pPr>
        <w:jc w:val="both"/>
      </w:pPr>
      <w:r>
        <w:t>原文件：F:\思政库视频资源\任务二思政案例\网络\思政案例2-网络攻击技术.docx</w:t>
      </w:r>
    </w:p>
    <w:p>
      <w:pPr>
        <w:jc w:val="both"/>
      </w:pPr>
      <w:r>
        <w:t>原题：思政案例2-网络攻击技术</w:t>
      </w:r>
    </w:p>
    <w:p>
      <w:pPr>
        <w:jc w:val="both"/>
      </w:pPr>
      <w:r>
        <w:t>定位：work/docx_evidence.json 第72条；抽取正文字符84—363（包含表格转写）</w:t>
      </w:r>
    </w:p>
    <w:p>
      <w:pPr>
        <w:jc w:val="both"/>
      </w:pPr>
      <w:r>
        <w:t>来源类型：教师案例原稿</w:t>
      </w:r>
    </w:p>
    <w:p>
      <w:pPr>
        <w:jc w:val="both"/>
      </w:pPr>
      <w:r>
        <w:t>相关资源ID：network-security-526d1f5def3d、network-security-9eec627bffcc、network-security-b5d8d5a56e0b</w:t>
      </w:r>
    </w:p>
    <w:p>
      <w:pPr>
        <w:pStyle w:val="Heading1"/>
      </w:pPr>
      <w:r>
        <w:t>修订说明</w:t>
      </w:r>
    </w:p>
    <w:p>
      <w:pPr>
        <w:pStyle w:val="ListBullet"/>
      </w:pPr>
      <w:r>
        <w:t>内容为依据原稿整理的课堂使用稿，未声称已经实施或取得育人成效。</w:t>
      </w:r>
    </w:p>
    <w:p>
      <w:pPr>
        <w:jc w:val="both"/>
      </w:pPr>
      <w:r>
        <w:t>审核记录编号：SH-ZT-027；教师自检（前置）、专业初审、思政审核、学院评审委员会审定的签字人及日期均留空；未签审。</w:t>
      </w:r>
    </w:p>
    <w:p>
      <w:pPr>
        <w:jc w:val="both"/>
      </w:pPr>
      <w:r>
        <w:t>情境与课堂指导正文汉字数：471。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  <w:ind w:firstLine="482"/>
    </w:pPr>
    <w:rPr>
      <w:rFonts w:ascii="Calibri" w:hAnsi="Calibri" w:eastAsia="SimSun" w:cs="Calibri"/>
      <w:b w:val="0"/>
      <w:color w:val="20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24" w:lineRule="auto"/>
      <w:outlineLvl w:val="0"/>
    </w:pPr>
    <w:rPr>
      <w:rFonts w:ascii="Calibri" w:hAnsi="Calibri" w:eastAsia="SimSun" w:cs="Calibri"/>
      <w:color w:val="202B3A"/>
      <w:sz w:val="36"/>
      <w:szCs w:val="28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24" w:lineRule="auto"/>
      <w:outlineLvl w:val="1"/>
    </w:pPr>
    <w:rPr>
      <w:rFonts w:ascii="Calibri" w:hAnsi="Calibri" w:eastAsia="SimSun" w:cs="Calibri"/>
      <w:color w:val="202B3A"/>
      <w:sz w:val="28"/>
      <w:szCs w:val="26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24" w:lineRule="auto"/>
      <w:outlineLvl w:val="2"/>
    </w:pPr>
    <w:rPr>
      <w:rFonts w:ascii="Calibri" w:hAnsi="Calibri" w:eastAsia="SimSun" w:cs="Calibri"/>
      <w:color w:val="202B3A"/>
      <w:sz w:val="24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24" w:lineRule="auto" w:before="360"/>
      <w:contextualSpacing/>
    </w:pPr>
    <w:rPr>
      <w:rFonts w:ascii="Calibri" w:hAnsi="Calibri" w:eastAsia="SimSun" w:cs="Calibri"/>
      <w:color w:val="202B3A"/>
      <w:spacing w:val="5"/>
      <w:kern w:val="28"/>
      <w:sz w:val="44"/>
      <w:szCs w:val="52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