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ZT-028 防火墙与入侵检测中的安全责任落实</w:t>
      </w:r>
    </w:p>
    <w:p>
      <w:pPr>
        <w:jc w:val="both"/>
      </w:pPr>
      <w:r>
        <w:t>主要维度：社会责任；次要维度：职业伦理、法治意识、科学精神</w:t>
      </w:r>
    </w:p>
    <w:p>
      <w:pPr>
        <w:jc w:val="both"/>
      </w:pPr>
      <w:r>
        <w:t>课程：网络安全技术</w:t>
      </w:r>
    </w:p>
    <w:p>
      <w:pPr>
        <w:jc w:val="both"/>
      </w:pPr>
      <w:r>
        <w:t>知识点：访问控制；最小权限；防火墙规则；误报</w:t>
      </w:r>
    </w:p>
    <w:p>
      <w:pPr>
        <w:jc w:val="both"/>
      </w:pPr>
      <w:r>
        <w:t>入口：#/topics/ZT-028；审核状态：待三级审核（未签审）</w:t>
      </w:r>
    </w:p>
    <w:p>
      <w:pPr>
        <w:pStyle w:val="Heading1"/>
      </w:pPr>
      <w:r>
        <w:t>案例情境</w:t>
      </w:r>
    </w:p>
    <w:p>
      <w:pPr>
        <w:jc w:val="both"/>
      </w:pPr>
      <w:r>
        <w:t>本地虚拟网络中，新增服务因防火墙规则被阻断，维护者为图方便开放了所有端口。学生需要在服务可用与风险控制之间设计可检查的规则，并认识误报、漏报和维护交接都会影响使用者，安全职责不能转移给一个设备。本专题沿用现有材料的知识点和价值问题，课堂记录须区分题设、观察与结论。教师先呈现任务，再由学生以计算、代码或图示说明依据，把价值判断落实到可检查的技术选择与使用者影响。</w:t>
      </w:r>
    </w:p>
    <w:p>
      <w:pPr>
        <w:pStyle w:val="Heading1"/>
      </w:pPr>
      <w:r>
        <w:t>15分钟课堂组织</w:t>
      </w:r>
    </w:p>
    <w:p>
      <w:pPr>
        <w:jc w:val="both"/>
      </w:pPr>
      <w:r>
        <w:t>0—3分钟｜导入与建模：阅读上述题设，圈出关键对象、输入输出和可能受影响的人；教师明确本题合成或教学抽象范围。</w:t>
      </w:r>
    </w:p>
    <w:p>
      <w:pPr>
        <w:jc w:val="both"/>
      </w:pPr>
      <w:r>
        <w:t>3—9分钟｜技术探究：建立允许、拒绝和默认策略，运行许可流量的验证表；比较一条过宽规则，补充告警分级和规则变更记录。小组保留计算或运行过程；出现失败时先记录条件，再提出修订。</w:t>
      </w:r>
    </w:p>
    <w:p>
      <w:pPr>
        <w:jc w:val="both"/>
      </w:pPr>
      <w:r>
        <w:t>9—12分钟｜价值讨论：全部封禁和全部开放分别损害了什么？谁应为规则更新与误报处置负责？每组至少给出一个支持理由和一个适用限制，以技术证据回答。</w:t>
      </w:r>
    </w:p>
    <w:p>
      <w:pPr>
        <w:jc w:val="both"/>
      </w:pPr>
      <w:r>
        <w:t>12—15分钟｜产出与互评：提交规则矩阵、流量验证记录、告警分级及交接单；同伴核对结论、来源和边界，教师收取修改后的记录。</w:t>
      </w:r>
    </w:p>
    <w:p>
      <w:pPr>
        <w:pStyle w:val="Heading1"/>
      </w:pPr>
      <w:r>
        <w:t>学生产出与评价</w:t>
      </w:r>
    </w:p>
    <w:p>
      <w:pPr>
        <w:jc w:val="both"/>
      </w:pPr>
      <w:r>
        <w:t>学生产出：规则矩阵、流量验证记录、告警分级及交接单</w:t>
      </w:r>
    </w:p>
    <w:p>
      <w:pPr>
        <w:jc w:val="both"/>
      </w:pPr>
      <w:r>
        <w:t>评价比例：技术正确与验证40分；使用者影响与价值理由25分；来源、记录及边界20分；协作解释与修改15分。</w:t>
      </w:r>
    </w:p>
    <w:p>
      <w:pPr>
        <w:jc w:val="both"/>
      </w:pPr>
      <w:r>
        <w:t>百分制仅用于课堂方案；教师按证据给分。技术错误未修订或越出授权范围时须先整改，不以态度口号替代技术验证；实际成绩与效果不得由本稿生成。</w:t>
      </w:r>
    </w:p>
    <w:p>
      <w:pPr>
        <w:pStyle w:val="Heading1"/>
      </w:pPr>
      <w:r>
        <w:t>技术与使用边界</w:t>
      </w:r>
    </w:p>
    <w:p>
      <w:pPr>
        <w:jc w:val="both"/>
      </w:pPr>
      <w:r>
        <w:t>实验使用隔离模拟网络；防火墙不等于完整安全体系，生产规则必须经网络管理负责人审核。</w:t>
      </w:r>
    </w:p>
    <w:p>
      <w:pPr>
        <w:pStyle w:val="Heading1"/>
      </w:pPr>
      <w:r>
        <w:t>可追溯来源</w:t>
      </w:r>
    </w:p>
    <w:p>
      <w:pPr>
        <w:jc w:val="both"/>
      </w:pPr>
      <w:r>
        <w:t>原文件：F:\思政库视频资源\任务二思政案例\网络\思政案例3-防火墙.docx</w:t>
      </w:r>
    </w:p>
    <w:p>
      <w:pPr>
        <w:jc w:val="both"/>
      </w:pPr>
      <w:r>
        <w:t>原题：思政案例3-防火墙</w:t>
      </w:r>
    </w:p>
    <w:p>
      <w:pPr>
        <w:jc w:val="both"/>
      </w:pPr>
      <w:r>
        <w:t>定位：work/docx_evidence.json 第73条；抽取正文字符84—363（包含表格转写）</w:t>
      </w:r>
    </w:p>
    <w:p>
      <w:pPr>
        <w:jc w:val="both"/>
      </w:pPr>
      <w:r>
        <w:t>来源类型：教师案例原稿</w:t>
      </w:r>
    </w:p>
    <w:p>
      <w:pPr>
        <w:jc w:val="both"/>
      </w:pPr>
      <w:r>
        <w:t>相关资源ID：network-security-49d5497f9db1、network-security-b05f1502b6e4、network-security-526d1f5def3d</w:t>
      </w:r>
    </w:p>
    <w:p>
      <w:pPr>
        <w:pStyle w:val="Heading1"/>
      </w:pPr>
      <w:r>
        <w:t>修订说明</w:t>
      </w:r>
    </w:p>
    <w:p>
      <w:pPr>
        <w:pStyle w:val="ListBullet"/>
      </w:pPr>
      <w:r>
        <w:t>内容为依据原稿整理的课堂使用稿，未声称已经实施或取得育人成效。</w:t>
      </w:r>
    </w:p>
    <w:p>
      <w:pPr>
        <w:jc w:val="both"/>
      </w:pPr>
      <w:r>
        <w:t>审核记录编号：SH-ZT-028；教师自检（前置）、专业初审、思政审核、学院评审委员会审定的签字人及日期均留空；未签审。</w:t>
      </w:r>
    </w:p>
    <w:p>
      <w:pPr>
        <w:jc w:val="both"/>
      </w:pPr>
      <w:r>
        <w:t>情境与课堂指导正文汉字数：471。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  <w:ind w:firstLine="482"/>
    </w:pPr>
    <w:rPr>
      <w:rFonts w:ascii="Calibri" w:hAnsi="Calibri" w:eastAsia="SimSun" w:cs="Calibri"/>
      <w:b w:val="0"/>
      <w:color w:val="202B3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324" w:lineRule="auto"/>
      <w:outlineLvl w:val="0"/>
    </w:pPr>
    <w:rPr>
      <w:rFonts w:ascii="Calibri" w:hAnsi="Calibri" w:eastAsia="SimSun" w:cs="Calibri"/>
      <w:color w:val="202B3A"/>
      <w:sz w:val="36"/>
      <w:szCs w:val="28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324" w:lineRule="auto"/>
      <w:outlineLvl w:val="1"/>
    </w:pPr>
    <w:rPr>
      <w:rFonts w:ascii="Calibri" w:hAnsi="Calibri" w:eastAsia="SimSun" w:cs="Calibri"/>
      <w:color w:val="202B3A"/>
      <w:sz w:val="28"/>
      <w:szCs w:val="26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120" w:line="324" w:lineRule="auto"/>
      <w:outlineLvl w:val="2"/>
    </w:pPr>
    <w:rPr>
      <w:rFonts w:ascii="Calibri" w:hAnsi="Calibri" w:eastAsia="SimSun" w:cs="Calibri"/>
      <w:color w:val="202B3A"/>
      <w:sz w:val="24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324" w:lineRule="auto" w:before="360"/>
      <w:contextualSpacing/>
    </w:pPr>
    <w:rPr>
      <w:rFonts w:ascii="Calibri" w:hAnsi="Calibri" w:eastAsia="SimSun" w:cs="Calibri"/>
      <w:color w:val="202B3A"/>
      <w:spacing w:val="5"/>
      <w:kern w:val="28"/>
      <w:sz w:val="44"/>
      <w:szCs w:val="52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24" w:lineRule="auto" w:after="120"/>
      <w:contextualSpacing/>
    </w:pPr>
    <w:rPr>
      <w:rFonts w:ascii="Calibri" w:hAnsi="Calibri" w:eastAsia="SimSun" w:cs="Calibri"/>
      <w:b w:val="0"/>
      <w:color w:val="202B3A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24" w:lineRule="auto" w:after="120"/>
      <w:contextualSpacing/>
    </w:pPr>
    <w:rPr>
      <w:rFonts w:ascii="Calibri" w:hAnsi="Calibri" w:eastAsia="SimSun" w:cs="Calibri"/>
      <w:b w:val="0"/>
      <w:color w:val="202B3A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