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ZT-029 国产密码算法与技术自主可控</w:t>
      </w:r>
    </w:p>
    <w:p>
      <w:pPr>
        <w:jc w:val="both"/>
      </w:pPr>
      <w:r>
        <w:t>主要维度：创新思维；次要维度：家国情怀、法治意识、科学精神</w:t>
      </w:r>
    </w:p>
    <w:p>
      <w:pPr>
        <w:jc w:val="both"/>
      </w:pPr>
      <w:r>
        <w:t>课程：网络安全技术</w:t>
      </w:r>
    </w:p>
    <w:p>
      <w:pPr>
        <w:jc w:val="both"/>
      </w:pPr>
      <w:r>
        <w:t>知识点：对称加密；非对称密码；数字签名；证书</w:t>
      </w:r>
    </w:p>
    <w:p>
      <w:pPr>
        <w:jc w:val="both"/>
      </w:pPr>
      <w:r>
        <w:t>入口：#/topics/ZT-029；审核状态：待三级审核（未签审）</w:t>
      </w:r>
    </w:p>
    <w:p>
      <w:pPr>
        <w:pStyle w:val="Heading1"/>
      </w:pPr>
      <w:r>
        <w:t>案例情境</w:t>
      </w:r>
    </w:p>
    <w:p>
      <w:pPr>
        <w:jc w:val="both"/>
      </w:pPr>
      <w:r>
        <w:t>文件传输练习要求收件人既能读取文件，也能确认来源和内容没有被改动。学生比较加密与签名各自解决的问题，再阅读国产密码算法的公开资料，理解技术自主需要标准、实现质量和生态协作共同支撑，不能靠自造算法证明安全。本专题沿用现有材料的知识点和价值问题，课堂记录须区分题设、观察与结论。教师先呈现任务，再由学生以计算、代码或图示说明依据，把价值判断落实到可检查的技术选择与使用者影响。</w:t>
      </w:r>
    </w:p>
    <w:p>
      <w:pPr>
        <w:pStyle w:val="Heading1"/>
      </w:pPr>
      <w:r>
        <w:t>15分钟课堂组织</w:t>
      </w:r>
    </w:p>
    <w:p>
      <w:pPr>
        <w:jc w:val="both"/>
      </w:pPr>
      <w:r>
        <w:t>0—3分钟｜导入与建模：阅读上述题设，圈出关键对象、输入输出和可能受影响的人；教师明确本题合成或教学抽象范围。</w:t>
      </w:r>
    </w:p>
    <w:p>
      <w:pPr>
        <w:jc w:val="both"/>
      </w:pPr>
      <w:r>
        <w:t>3—9分钟｜技术探究：为本地文件设计加密、签名与验签流程，修改一个字节观察验证失败；记录密钥保存、轮换和泄露响应要求。小组保留计算或运行过程；出现失败时先记录条件，再提出修订。</w:t>
      </w:r>
    </w:p>
    <w:p>
      <w:pPr>
        <w:jc w:val="both"/>
      </w:pPr>
      <w:r>
        <w:t>9—12分钟｜价值讨论：内容已经加密，为什么仍需确认发送者身份？公开标准与自主创新如何相互支持？每组至少给出一个支持理由和一个适用限制，以技术证据回答。</w:t>
      </w:r>
    </w:p>
    <w:p>
      <w:pPr>
        <w:jc w:val="both"/>
      </w:pPr>
      <w:r>
        <w:t>12—15分钟｜产出与互评：提交密码功能对照表、篡改验签记录、密钥生命周期图；同伴核对结论、来源和边界，教师收取修改后的记录。</w:t>
      </w:r>
    </w:p>
    <w:p>
      <w:pPr>
        <w:pStyle w:val="Heading1"/>
      </w:pPr>
      <w:r>
        <w:t>学生产出与评价</w:t>
      </w:r>
    </w:p>
    <w:p>
      <w:pPr>
        <w:jc w:val="both"/>
      </w:pPr>
      <w:r>
        <w:t>学生产出：密码功能对照表、篡改验签记录、密钥生命周期图</w:t>
      </w:r>
    </w:p>
    <w:p>
      <w:pPr>
        <w:jc w:val="both"/>
      </w:pPr>
      <w:r>
        <w:t>评价比例：技术正确与验证40分；使用者影响与价值理由25分；来源、记录及边界20分；协作解释与修改15分。</w:t>
      </w:r>
    </w:p>
    <w:p>
      <w:pPr>
        <w:jc w:val="both"/>
      </w:pPr>
      <w:r>
        <w:t>百分制仅用于课堂方案；教师按证据给分。技术错误未修订或越出授权范围时须先整改，不以态度口号替代技术验证；实际成绩与效果不得由本稿生成。</w:t>
      </w:r>
    </w:p>
    <w:p>
      <w:pPr>
        <w:pStyle w:val="Heading1"/>
      </w:pPr>
      <w:r>
        <w:t>技术与使用边界</w:t>
      </w:r>
    </w:p>
    <w:p>
      <w:pPr>
        <w:jc w:val="both"/>
      </w:pPr>
      <w:r>
        <w:t>使用教学样例密钥与成熟库；不设计或宣称安全的自制密码，真实密码应用须经专业评估。</w:t>
      </w:r>
    </w:p>
    <w:p>
      <w:pPr>
        <w:pStyle w:val="Heading1"/>
      </w:pPr>
      <w:r>
        <w:t>可追溯来源</w:t>
      </w:r>
    </w:p>
    <w:p>
      <w:pPr>
        <w:jc w:val="both"/>
      </w:pPr>
      <w:r>
        <w:t>原文件：F:\思政库视频资源\任务二思政案例\网络\思政案例4-加解密技术.docx</w:t>
      </w:r>
    </w:p>
    <w:p>
      <w:pPr>
        <w:jc w:val="both"/>
      </w:pPr>
      <w:r>
        <w:t>原题：思政案例4-加解密技术</w:t>
      </w:r>
    </w:p>
    <w:p>
      <w:pPr>
        <w:jc w:val="both"/>
      </w:pPr>
      <w:r>
        <w:t>定位：work/docx_evidence.json 第74条；抽取正文字符86—365（包含表格转写）</w:t>
      </w:r>
    </w:p>
    <w:p>
      <w:pPr>
        <w:jc w:val="both"/>
      </w:pPr>
      <w:r>
        <w:t>来源类型：教师案例原稿</w:t>
      </w:r>
    </w:p>
    <w:p>
      <w:pPr>
        <w:jc w:val="both"/>
      </w:pPr>
      <w:r>
        <w:t>相关资源ID：network-security-2c2372359d56、network-security-642ea1b09a7c</w:t>
      </w:r>
    </w:p>
    <w:p>
      <w:pPr>
        <w:pStyle w:val="Heading1"/>
      </w:pPr>
      <w:r>
        <w:t>修订说明</w:t>
      </w:r>
    </w:p>
    <w:p>
      <w:pPr>
        <w:pStyle w:val="ListBullet"/>
      </w:pPr>
      <w:r>
        <w:t>内容为依据原稿整理的课堂使用稿，未声称已经实施或取得育人成效。</w:t>
      </w:r>
    </w:p>
    <w:p>
      <w:pPr>
        <w:jc w:val="both"/>
      </w:pPr>
      <w:r>
        <w:t>审核记录编号：SH-ZT-029；教师自检（前置）、专业初审、思政审核、学院评审委员会审定的签字人及日期均留空；未签审。</w:t>
      </w:r>
    </w:p>
    <w:p>
      <w:pPr>
        <w:jc w:val="both"/>
      </w:pPr>
      <w:r>
        <w:t>情境与课堂指导正文汉字数：481。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ind w:firstLine="482"/>
    </w:pPr>
    <w:rPr>
      <w:rFonts w:ascii="Calibri" w:hAnsi="Calibri" w:eastAsia="SimSun" w:cs="Calibri"/>
      <w:b w:val="0"/>
      <w:color w:val="20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24" w:lineRule="auto"/>
      <w:outlineLvl w:val="0"/>
    </w:pPr>
    <w:rPr>
      <w:rFonts w:ascii="Calibri" w:hAnsi="Calibri" w:eastAsia="SimSun" w:cs="Calibri"/>
      <w:color w:val="202B3A"/>
      <w:sz w:val="36"/>
      <w:szCs w:val="28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24" w:lineRule="auto"/>
      <w:outlineLvl w:val="1"/>
    </w:pPr>
    <w:rPr>
      <w:rFonts w:ascii="Calibri" w:hAnsi="Calibri" w:eastAsia="SimSun" w:cs="Calibri"/>
      <w:color w:val="202B3A"/>
      <w:sz w:val="28"/>
      <w:szCs w:val="26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24" w:lineRule="auto"/>
      <w:outlineLvl w:val="2"/>
    </w:pPr>
    <w:rPr>
      <w:rFonts w:ascii="Calibri" w:hAnsi="Calibri" w:eastAsia="SimSun" w:cs="Calibri"/>
      <w:color w:val="202B3A"/>
      <w:sz w:val="24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24" w:lineRule="auto" w:before="360"/>
      <w:contextualSpacing/>
    </w:pPr>
    <w:rPr>
      <w:rFonts w:ascii="Calibri" w:hAnsi="Calibri" w:eastAsia="SimSun" w:cs="Calibri"/>
      <w:color w:val="202B3A"/>
      <w:spacing w:val="5"/>
      <w:kern w:val="28"/>
      <w:sz w:val="44"/>
      <w:szCs w:val="52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