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ZT-030 恶意代码的社会危害与防范意识</w:t>
      </w:r>
    </w:p>
    <w:p>
      <w:pPr>
        <w:jc w:val="both"/>
      </w:pPr>
      <w:r>
        <w:t>主要维度：法治意识；次要维度：社会责任、职业伦理、家国情怀</w:t>
      </w:r>
    </w:p>
    <w:p>
      <w:pPr>
        <w:jc w:val="both"/>
      </w:pPr>
      <w:r>
        <w:t>课程：网络安全技术</w:t>
      </w:r>
    </w:p>
    <w:p>
      <w:pPr>
        <w:jc w:val="both"/>
      </w:pPr>
      <w:r>
        <w:t>知识点：勒索软件；备份；最小权限；应急响应</w:t>
      </w:r>
    </w:p>
    <w:p>
      <w:pPr>
        <w:jc w:val="both"/>
      </w:pPr>
      <w:r>
        <w:t>入口：#/topics/ZT-030；审核状态：待三级审核（未签审）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学情境是一份合成勒索告警，模拟终端的文件突然不可读。学生只分析静态文字日志和备份清单，讨论事件对教学、业务与个人资料的影响，认识防范恶意代码既需要技术措施，也需要及时报告、隔离和有序恢复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3—9分钟｜技术探究：按给定日志排列识别、隔离、报告和恢复顺序；检查备份是否独立可恢复，写出不应自行执行的危险处置。小组保留计算或运行过程；出现失败时先记录条件，再提出修订。</w:t>
      </w:r>
    </w:p>
    <w:p>
      <w:pPr>
        <w:jc w:val="both"/>
      </w:pPr>
      <w:r>
        <w:t>9—12分钟｜价值讨论：为了尽快恢复删除日志，会损失什么证据？发现可疑附件后个人与管理员各应做什么？每组至少给出一个支持理由和一个适用限制，以技术证据回答。</w:t>
      </w:r>
    </w:p>
    <w:p>
      <w:pPr>
        <w:jc w:val="both"/>
      </w:pPr>
      <w:r>
        <w:t>12—15分钟｜产出与互评：提交应急流程卡、备份恢复检查表、证据保留清单；同伴核对结论、来源和边界，教师收取修改后的记录。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学生产出：应急流程卡、备份恢复检查表、证据保留清单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不下载、运行或制作恶意样本；仅使用静态模拟日志，不对真实事件作归因或提供对抗操作。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原文件：F:\思政库视频资源\任务二思政案例\网络\思政案例5-恶意代码.docx</w:t>
      </w:r>
    </w:p>
    <w:p>
      <w:pPr>
        <w:jc w:val="both"/>
      </w:pPr>
      <w:r>
        <w:t>原题：思政案例5-恶意代码</w:t>
      </w:r>
    </w:p>
    <w:p>
      <w:pPr>
        <w:jc w:val="both"/>
      </w:pPr>
      <w:r>
        <w:t>定位：work/docx_evidence.json 第75条；抽取正文字符75—354（包含表格转写）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相关资源ID：network-security-0a3a93a08101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审核记录编号：SH-ZT-030；教师自检（前置）、专业初审、思政审核、学院评审委员会审定的签字人及日期均留空；未签审。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情境与课堂指导正文汉字数：472。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