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ZT-033 以链接为脉，聚协作之力，筑创新之基</w:t>
      </w:r>
    </w:p>
    <w:p>
      <w:pPr>
        <w:jc w:val="both"/>
      </w:pPr>
      <w:r>
        <w:t>主要维度：职业伦理；次要维度：创新思维、科学精神</w:t>
      </w:r>
    </w:p>
    <w:p>
      <w:pPr>
        <w:jc w:val="both"/>
      </w:pPr>
      <w:r>
        <w:t>课程：计算机系统</w:t>
      </w:r>
    </w:p>
    <w:p>
      <w:pPr>
        <w:jc w:val="both"/>
      </w:pPr>
      <w:r>
        <w:t>知识点：符号解析；重定位；静态库；共享库；接口规范</w:t>
      </w:r>
    </w:p>
    <w:p>
      <w:pPr>
        <w:jc w:val="both"/>
      </w:pPr>
      <w:r>
        <w:t>入口：#/topics/ZT-033；审核状态：待三级审核（未签审）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课程小组把独立开发的模块连接成一个程序，出现重复符号和依赖版本冲突。学生查阅链接信息，修复接口并为共享库补充中文使用说明。通过尊重许可、清晰协作和可验证贡献，理解中国开发者参与开源生态可以体现文化自信与开放交流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3—9分钟｜技术探究：分析一份链接错误，定位重复定义与缺失依赖；修复后标明作者和许可，编写模块接口及中文贡献说明。小组保留计算或运行过程；出现失败时先记录条件，再提出修订。</w:t>
      </w:r>
    </w:p>
    <w:p>
      <w:pPr>
        <w:jc w:val="both"/>
      </w:pPr>
      <w:r>
        <w:t>9—12分钟｜价值讨论：自己的代码依赖他人的库时，如何明确贡献与责任，而不抹去原作者？每组至少给出一个支持理由和一个适用限制，以技术证据回答。</w:t>
      </w:r>
    </w:p>
    <w:p>
      <w:pPr>
        <w:jc w:val="both"/>
      </w:pPr>
      <w:r>
        <w:t>12—15分钟｜产出与互评：提交链接错误定位记录、接口清单、作者许可及贡献说明；同伴核对结论、来源和边界，教师收取修改后的记录。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学生产出：链接错误定位记录、接口清单、作者许可及贡献说明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不把开源库来源国别简单归类为国产；课堂共享代码仅在许可允许范围内使用和再分发。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原文件：F:\思政库视频资源\任务二思政案例\课程思政案例\案例三.docx</w:t>
      </w:r>
    </w:p>
    <w:p>
      <w:pPr>
        <w:jc w:val="both"/>
      </w:pPr>
      <w:r>
        <w:t>原题：以链接为脉，聚协作之力，筑创新之基——链接技术教学中的思政融合实践</w:t>
      </w:r>
    </w:p>
    <w:p>
      <w:pPr>
        <w:jc w:val="both"/>
      </w:pPr>
      <w:r>
        <w:t>定位：work/docx_evidence.json 第62条；抽取正文字符2708—2987（包含表格转写）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相关资源ID：computer-systems-ce4980abc5fe、computer-systems-38bbd2f932f9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审核记录编号：SH-ZT-033；教师自检（前置）、专业初审、思政审核、学院评审委员会审定的签字人及日期均留空；未签审。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