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ZT-036 北斗芯片结构与核心科技自主化</w:t>
      </w:r>
    </w:p>
    <w:p>
      <w:pPr>
        <w:jc w:val="both"/>
      </w:pPr>
      <w:r>
        <w:t>主要维度：家国情怀；次要维度：科学精神、创新思维、社会责任</w:t>
      </w:r>
    </w:p>
    <w:p>
      <w:pPr>
        <w:jc w:val="both"/>
      </w:pPr>
      <w:r>
        <w:t>课程：嵌入式系统</w:t>
      </w:r>
    </w:p>
    <w:p>
      <w:pPr>
        <w:jc w:val="both"/>
      </w:pPr>
      <w:r>
        <w:t>知识点：处理器架构；SoC；指令集；低功耗；可靠性</w:t>
      </w:r>
    </w:p>
    <w:p>
      <w:pPr>
        <w:jc w:val="both"/>
      </w:pPr>
      <w:r>
        <w:t>入口：#/topics/ZT-036；审核状态：待三级审核（未签审）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教师给出教学导航终端的处理器、存储与射频模块示意。定位功能可运行，但高负载时功耗增大、数据更新迟延。学生把核心技术自主与可靠应用连接起来，分析架构选择、接口和测试责任，理解长期积累比单一功能演示更能支撑技术服务国家需求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3—9分钟｜技术探究：画出模拟终端模块与数据链路，比较两种处理架构的约束；列出功耗、时延和异常恢复验证项。小组保留计算或运行过程；出现失败时先记录条件，再提出修订。</w:t>
      </w:r>
    </w:p>
    <w:p>
      <w:pPr>
        <w:jc w:val="both"/>
      </w:pPr>
      <w:r>
        <w:t>9—12分钟｜价值讨论：实现定位功能之后，哪些可靠性与维护工作仍决定技术能否承担公共服务？每组至少给出一个支持理由和一个适用限制，以技术证据回答。</w:t>
      </w:r>
    </w:p>
    <w:p>
      <w:pPr>
        <w:jc w:val="both"/>
      </w:pPr>
      <w:r>
        <w:t>12—15分钟｜产出与互评：提交终端架构图、约束比较表、可靠性验证清单；同伴核对结论、来源和边界，教师收取修改后的记录。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学生产出：终端架构图、约束比较表、可靠性验证清单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图为教学抽象，不代表北斗实际芯片内部架构；不沿用原稿未经核实的历史技术因果关系。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原文件：F:\思政库视频资源\任务二思政案例\嵌入式\思政案例1+《嵌入式系统开发》+处理器体系结构→国产芯片自主化发展及应用（“银河号”事件激发的北斗事业--北斗芯片结构及核心科技自主化）-李翠红.docx</w:t>
      </w:r>
    </w:p>
    <w:p>
      <w:pPr>
        <w:jc w:val="both"/>
      </w:pPr>
      <w:r>
        <w:t>原题：思政案例1+《嵌入式系统开发》+处理器体系结构→国产芯片自主化发展及应用（“银河号”事件激发的北斗事业--北斗芯片结构及核心科技自主化）-李翠红</w:t>
      </w:r>
    </w:p>
    <w:p>
      <w:pPr>
        <w:jc w:val="both"/>
      </w:pPr>
      <w:r>
        <w:t>定位：work/docx_evidence.json 第46条；抽取正文字符91—370（包含表格转写）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相关资源ID：embedded-3c9bf318aaf6、embedded-00741edc6505、embedded-eb58bd906b9e、embedded-b21d002c4732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审核记录编号：SH-ZT-036；教师自检（前置）、专业初审、思政审核、学院评审委员会审定的签字人及日期均留空；未签审。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情境与课堂指导正文汉字数：477。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