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ZT-038 多线程协作与科学严谨性</w:t>
      </w:r>
    </w:p>
    <w:p>
      <w:pPr>
        <w:jc w:val="both"/>
      </w:pPr>
      <w:r>
        <w:t>主要维度：科学精神；次要维度：职业伦理、社会责任</w:t>
      </w:r>
    </w:p>
    <w:p>
      <w:pPr>
        <w:jc w:val="both"/>
      </w:pPr>
      <w:r>
        <w:t>课程：嵌入式系统</w:t>
      </w:r>
    </w:p>
    <w:p>
      <w:pPr>
        <w:jc w:val="both"/>
      </w:pPr>
      <w:r>
        <w:t>知识点：线程同步；互斥锁；信号量；生产者消费者</w:t>
      </w:r>
    </w:p>
    <w:p>
      <w:pPr>
        <w:jc w:val="both"/>
      </w:pPr>
      <w:r>
        <w:t>入口：#/topics/ZT-038；审核状态：待三级审核（未签审）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原稿以交通事故警示线程安全，但事故时间与车型存在矛盾。现改为明确标注的合成场景：模拟交通控制器的传感线程更新速度值，决策线程同时读到一新一旧的数据。学生通过日志还原竞争窗口，学习以代码证据讨论风险而不对真实事故作无据归因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3—9分钟｜技术探究：排列两个线程交错执行的步骤，复现不一致读取；使用互斥和完整快照修复，增加超时及异常退出测试。小组保留计算或运行过程；出现失败时先记录条件，再提出修订。</w:t>
      </w:r>
    </w:p>
    <w:p>
      <w:pPr>
        <w:jc w:val="both"/>
      </w:pPr>
      <w:r>
        <w:t>9—12分钟｜价值讨论：偶尔出现且难以复现的并发错误，为什么不能凭“通常正常”决定发布？每组至少给出一个支持理由和一个适用限制，以技术证据回答。</w:t>
      </w:r>
    </w:p>
    <w:p>
      <w:pPr>
        <w:jc w:val="both"/>
      </w:pPr>
      <w:r>
        <w:t>12—15分钟｜产出与互评：提交线程交错图、竞态修复记录、异常同步测试；同伴核对结论、来源和边界，教师收取修改后的记录。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学生产出：线程交错图、竞态修复记录、异常同步测试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全部数据为教学合成，不宣称解释某企业事故；不可将练习控制器用于道路或真实设备。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原文件：F:\思政库视频资源\任务二思政案例\嵌入式\思政案例3+《嵌入式系统开发》+LINUX系统→多线程通信（小米-特斯拉交通事故警示教育--多线程协作与科学严谨性）+李翠红.docx</w:t>
      </w:r>
    </w:p>
    <w:p>
      <w:pPr>
        <w:jc w:val="both"/>
      </w:pPr>
      <w:r>
        <w:t>原题：思政案例3+《嵌入式系统开发》+LINUX系统→多线程通信（小米-特斯拉交通事故警示教育--多线程协作与科学严谨性）+李翠红</w:t>
      </w:r>
    </w:p>
    <w:p>
      <w:pPr>
        <w:jc w:val="both"/>
      </w:pPr>
      <w:r>
        <w:t>定位：work/docx_evidence.json 第48条；抽取正文字符94—373（包含表格转写）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相关资源ID：embedded-a24da970b411、embedded-0db74f43f078、embedded-9187d3a182d6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pStyle w:val="ListBullet"/>
      </w:pPr>
      <w:r>
        <w:t>原稿2022年小米SU7事故叙述存在时间矛盾，删除企业和事故归因，改用明确标注的合成并发场景。</w:t>
      </w:r>
    </w:p>
    <w:p>
      <w:pPr>
        <w:jc w:val="both"/>
      </w:pPr>
      <w:r>
        <w:t>审核记录编号：SH-ZT-038；教师自检（前置）、专业初审、思政审核、学院评审委员会审定的签字人及日期均留空；未签审。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情境与课堂指导正文汉字数：480。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