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ZT-039 字符设备驱动中的安全管理</w:t>
      </w:r>
    </w:p>
    <w:p>
      <w:pPr>
        <w:jc w:val="both"/>
      </w:pPr>
      <w:r>
        <w:t>主要维度：职业伦理；次要维度：法治意识、科学精神、社会责任</w:t>
      </w:r>
    </w:p>
    <w:p>
      <w:pPr>
        <w:jc w:val="both"/>
      </w:pPr>
      <w:r>
        <w:t>课程：嵌入式系统</w:t>
      </w:r>
    </w:p>
    <w:p>
      <w:pPr>
        <w:jc w:val="both"/>
      </w:pPr>
      <w:r>
        <w:t>知识点：输入验证；权限检查；驱动接口；安全回退</w:t>
      </w:r>
    </w:p>
    <w:p>
      <w:pPr>
        <w:jc w:val="both"/>
      </w:pPr>
      <w:r>
        <w:t>入口：#/topics/ZT-039；审核状态：待三级审核（未签审）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本地模拟字符设备接口允许用户写入控制值。测试中发现超长输入和非法范围没有被拒绝。学生把驱动安全落实到长度、类型、权限与失败恢复检查，认识底层代码出错可能影响整个系统，工程师必须把异常路径与正常功能同等对待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3—9分钟｜技术探究：审阅教学驱动伪代码，加入输入与权限检查；列出返回错误、资源释放和安全状态，并执行边界测试。小组保留计算或运行过程；出现失败时先记录条件，再提出修订。</w:t>
      </w:r>
    </w:p>
    <w:p>
      <w:pPr>
        <w:jc w:val="both"/>
      </w:pPr>
      <w:r>
        <w:t>9—12分钟｜价值讨论：接口功能可用之后，谁负责确认无权用户和异常输入不会改变设备状态？每组至少给出一个支持理由和一个适用限制，以技术证据回答。</w:t>
      </w:r>
    </w:p>
    <w:p>
      <w:pPr>
        <w:jc w:val="both"/>
      </w:pPr>
      <w:r>
        <w:t>12—15分钟｜产出与互评：提交驱动接口审查表、边界测试、失败回退流程；同伴核对结论、来源和边界，教师收取修改后的记录。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学生产出：驱动接口审查表、边界测试、失败回退流程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只使用模拟接口或隔离教学环境；不加载未经审核的内核驱动，不把真实工控事件简单归因于单个驱动。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原文件：F:\思政库视频资源\任务二思政案例\嵌入式\思政案例4+《嵌入式系统开发》+字符设备驱动程序框架→驱动安全管理+李翠红.docx</w:t>
      </w:r>
    </w:p>
    <w:p>
      <w:pPr>
        <w:jc w:val="both"/>
      </w:pPr>
      <w:r>
        <w:t>原题：思政案例4+《嵌入式系统开发》+字符设备驱动程序框架→驱动安全管理+李翠红</w:t>
      </w:r>
    </w:p>
    <w:p>
      <w:pPr>
        <w:jc w:val="both"/>
      </w:pPr>
      <w:r>
        <w:t>定位：work/docx_evidence.json 第49条；抽取正文字符86—365（包含表格转写）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相关资源ID：embedded-2825002fdc44、embedded-13da7f310959、embedded-2cbf6fb40d7c、embedded-a77d1d298466、embedded-d624ca24566d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审核记录编号：SH-ZT-039；教师自检（前置）、专业初审、思政审核、学院评审委员会审定的签字人及日期均留空；未签审。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情境与课堂指导正文汉字数：479。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