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ZT-040 设备树与驱动协作中的工匠精神</w:t>
      </w:r>
    </w:p>
    <w:p>
      <w:pPr>
        <w:jc w:val="both"/>
      </w:pPr>
      <w:r>
        <w:t>主要维度：职业伦理；次要维度：科学精神、创新思维</w:t>
      </w:r>
    </w:p>
    <w:p>
      <w:pPr>
        <w:jc w:val="both"/>
      </w:pPr>
      <w:r>
        <w:t>课程：嵌入式系统</w:t>
      </w:r>
    </w:p>
    <w:p>
      <w:pPr>
        <w:jc w:val="both"/>
      </w:pPr>
      <w:r>
        <w:t>知识点：DTS；compatible；资源描述；驱动匹配</w:t>
      </w:r>
    </w:p>
    <w:p>
      <w:pPr>
        <w:jc w:val="both"/>
      </w:pPr>
      <w:r>
        <w:t>入口：#/topics/ZT-040；审核状态：待三级审核（未签审）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模拟开发板更换一个传感器后，驱动仍读取旧资源地址。学生检查设备树的节点、compatible字符串和资源绑定，理解把硬件描述与驱动逻辑分离可以改善协作，也要求准确维护接口和版本。清晰规则让后续维护者更容易理解系统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3—9分钟｜技术探究：对照两版硬件描述定位错误资源，修订DTS并核对驱动匹配；整理硬件变更和回归验证的交接说明。小组保留计算或运行过程；出现失败时先记录条件，再提出修订。</w:t>
      </w:r>
    </w:p>
    <w:p>
      <w:pPr>
        <w:jc w:val="both"/>
      </w:pPr>
      <w:r>
        <w:t>9—12分钟｜价值讨论：硬件变化只改一个地址是否足够？维护者还应核对哪些接口和资源冲突？每组至少给出一个支持理由和一个适用限制，以技术证据回答。</w:t>
      </w:r>
    </w:p>
    <w:p>
      <w:pPr>
        <w:jc w:val="both"/>
      </w:pPr>
      <w:r>
        <w:t>12—15分钟｜产出与互评：提交设备树差异表、驱动匹配检查、硬件变更交接单；同伴核对结论、来源和边界，教师收取修改后的记录。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学生产出：设备树差异表、驱动匹配检查、硬件变更交接单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设备地址与节点均为教学示例；不直接写入真实设备，不把通过编译等同于硬件已安全验证。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原文件：F:\思政库视频资源\任务二思政案例\嵌入式\思政案例5+《嵌入式系统开发》+Linux设备驱动程序结构→设备树的概念及驱动+李翠红.docx</w:t>
      </w:r>
    </w:p>
    <w:p>
      <w:pPr>
        <w:jc w:val="both"/>
      </w:pPr>
      <w:r>
        <w:t>原题：思政案例5+《嵌入式系统开发》+Linux设备驱动程序结构→设备树的概念及驱动+李翠红</w:t>
      </w:r>
    </w:p>
    <w:p>
      <w:pPr>
        <w:jc w:val="both"/>
      </w:pPr>
      <w:r>
        <w:t>定位：work/docx_evidence.json 第50条；抽取正文字符103—382（包含表格转写）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相关资源ID：embedded-da0566173ac0、embedded-a77d1d298466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审核记录编号：SH-ZT-040；教师自检（前置）、专业初审、思政审核、学院评审委员会审定的签字人及日期均留空；未签审。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情境与课堂指导正文汉字数：469。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