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ZT-052 AI评估与科学严谨性</w:t>
      </w:r>
    </w:p>
    <w:p>
      <w:pPr>
        <w:jc w:val="both"/>
      </w:pPr>
      <w:r>
        <w:t>主要维度：科学精神；次要维度：职业伦理、社会责任</w:t>
      </w:r>
    </w:p>
    <w:p>
      <w:pPr>
        <w:jc w:val="both"/>
      </w:pPr>
      <w:r>
        <w:t>课程：AI工程概览</w:t>
      </w:r>
    </w:p>
    <w:p>
      <w:pPr>
        <w:jc w:val="both"/>
      </w:pPr>
      <w:r>
        <w:t>知识点：AI-as-a-Judge；盲评；一致性；偏差检验</w:t>
      </w:r>
    </w:p>
    <w:p>
      <w:pPr>
        <w:jc w:val="both"/>
      </w:pPr>
      <w:r>
        <w:t>入口：#/topics/ZT-052；审核状态：待三级审核（未签审）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同一答案被两个AI裁判给出不同分数，换一下候选答案顺序又改变了偏好。学生从合成评审结果追查位置偏差和文风偏好，认识模型评估必须有明确尺度、人工参照与失败报告，不能因为裁判也是AI就免除验证责任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3—9分钟｜技术探究：对一组固定答案做顺序交换和盲评，对照人工评分；记录一致性与分歧，制定需要人工裁决的阈值。小组保留计算或运行过程；出现失败时先记录条件，再提出修订。</w:t>
      </w:r>
    </w:p>
    <w:p>
      <w:pPr>
        <w:jc w:val="both"/>
      </w:pPr>
      <w:r>
        <w:t>9—12分钟｜价值讨论：当AI裁判与人不一致时，怎样区分模型缺陷、评价标准模糊与人的偏差？每组至少给出一个支持理由和一个适用限制，以技术证据回答。</w:t>
      </w:r>
    </w:p>
    <w:p>
      <w:pPr>
        <w:jc w:val="both"/>
      </w:pPr>
      <w:r>
        <w:t>12—15分钟｜产出与互评：提交评分量规、顺序偏差对照、人工复核清单；同伴核对结论、来源和边界，教师收取修改后的记录。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学生产出：评分量规、顺序偏差对照、人工复核清单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采用预先给出的合成评分或离线示例，不消耗付费API；AI评分不得直接当作真实学生成绩。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原文件：F:\思政库视频资源\任务二思政案例\5个案例\6 思政案例 +《AI 工程概览》+评估方法论 → AI作为裁判 → AI-as-a-Judge评估系统（案例六：AI评估与科学严谨性）+ 戴晓东 2026-03-28.docx</w:t>
      </w:r>
    </w:p>
    <w:p>
      <w:pPr>
        <w:jc w:val="both"/>
      </w:pPr>
      <w:r>
        <w:t>原题：6 思政案例 +《AI 工程概览》+评估方法论 → AI作为裁判 → AI-as-a-Judge评估系统（案例六：AI评估与科学严谨性）+ 戴晓东 2026-03-28</w:t>
      </w:r>
    </w:p>
    <w:p>
      <w:pPr>
        <w:jc w:val="both"/>
      </w:pPr>
      <w:r>
        <w:t>定位：work/docx_evidence.json 第42条；抽取正文字符90—369（包含表格转写）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相关资源ID：ai-engineering-9072ee56150f、ai-engineering-05de88925968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pStyle w:val="ListBullet"/>
      </w:pPr>
      <w:r>
        <w:t>按文件题名及知识点将误填区块链工程的课程字段修订为AI工程概览；专业归属待正式培养方案审核。</w:t>
      </w:r>
    </w:p>
    <w:p>
      <w:pPr>
        <w:jc w:val="both"/>
      </w:pPr>
      <w:r>
        <w:t>审核记录编号：SH-ZT-052；教师自检（前置）、专业初审、思政审核、学院评审委员会审定的签字人及日期均留空；未签审。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情境与课堂指导正文汉字数：459。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