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ZT-053 评估驱动开发与工程化落地</w:t>
      </w:r>
    </w:p>
    <w:p>
      <w:pPr>
        <w:jc w:val="both"/>
      </w:pPr>
      <w:r>
        <w:t>主要维度：职业伦理；次要维度：科学精神、创新思维、社会责任</w:t>
      </w:r>
    </w:p>
    <w:p>
      <w:pPr>
        <w:jc w:val="both"/>
      </w:pPr>
      <w:r>
        <w:t>课程：AI工程概览</w:t>
      </w:r>
    </w:p>
    <w:p>
      <w:pPr>
        <w:jc w:val="both"/>
      </w:pPr>
      <w:r>
        <w:t>知识点：评估驱动开发；单元测试；端到端；持续监控</w:t>
      </w:r>
    </w:p>
    <w:p>
      <w:pPr>
        <w:jc w:val="both"/>
      </w:pPr>
      <w:r>
        <w:t>入口：#/topics/ZT-053；审核状态：待三级审核（未签审）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学习问答原型能回答演示问题，加入真实格式的长文档后却引用错误段落。学生先定义任务与失败标准，再补齐组件测试、端到端评估和回退流程，理解工程交付要对用户遇到的失败负责，不能用几个成功截图代替系统验证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3—9分钟｜技术探究：把任务拆为检索、引用和回答三个环节，分别建立失败样例；设计发布门槛、回退和异常监控记录。小组保留计算或运行过程；出现失败时先记录条件，再提出修订。</w:t>
      </w:r>
    </w:p>
    <w:p>
      <w:pPr>
        <w:jc w:val="both"/>
      </w:pPr>
      <w:r>
        <w:t>9—12分钟｜价值讨论：演示成功为何不足以证明可以发布？谁应决定未通过的关键测试是否允许上线？每组至少给出一个支持理由和一个适用限制，以技术证据回答。</w:t>
      </w:r>
    </w:p>
    <w:p>
      <w:pPr>
        <w:jc w:val="both"/>
      </w:pPr>
      <w:r>
        <w:t>12—15分钟｜产出与互评：提交评估矩阵、失败样例集、发布与回退检查表；同伴核对结论、来源和边界，教师收取修改后的记录。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学生产出：评估矩阵、失败样例集、发布与回退检查表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教学示例不宣称产品已达标；无法验证的功能标记待验，禁止编造实际用户满意度或线上效果。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原文件：F:\思政库视频资源\任务二思政案例\5个案例\7 思政案例 +《AI 工程概览》+评估AI系统 → 设计你的评估流程 → 从单元测试到端到端评估（案例七：评估驱动开发与工程化落地）+ 戴晓东 2026-03-28.docx</w:t>
      </w:r>
    </w:p>
    <w:p>
      <w:pPr>
        <w:jc w:val="both"/>
      </w:pPr>
      <w:r>
        <w:t>原题：7 思政案例 +《AI 工程概览》+评估AI系统 → 设计你的评估流程 → 从单元测试到端到端评估（案例七：评估驱动开发与工程化落地）+ 戴晓东 2026-03-28</w:t>
      </w:r>
    </w:p>
    <w:p>
      <w:pPr>
        <w:jc w:val="both"/>
      </w:pPr>
      <w:r>
        <w:t>定位：work/docx_evidence.json 第43条；抽取正文字符116—395（包含表格转写）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相关资源ID：ai-engineering-c669cc7e2e27、ai-engineering-e414e764e39c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按文件题名及知识点将误填区块链工程的课程字段修订为AI工程概览；专业归属待正式培养方案审核。</w:t>
      </w:r>
    </w:p>
    <w:p>
      <w:pPr>
        <w:jc w:val="both"/>
      </w:pPr>
      <w:r>
        <w:t>审核记录编号：SH-ZT-053；教师自检（前置）、专业初审、思政审核、学院评审委员会审定的签字人及日期均留空；未签审。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情境与课堂指导正文汉字数：473。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